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982" w:rsidRPr="008C4982" w:rsidRDefault="008C4982" w:rsidP="008C4982">
      <w:pPr>
        <w:widowControl w:val="0"/>
        <w:spacing w:before="170" w:after="0" w:line="400" w:lineRule="exact"/>
        <w:jc w:val="center"/>
        <w:outlineLvl w:val="0"/>
        <w:rPr>
          <w:rFonts w:ascii="Minion Pro" w:eastAsia="Minion Pro" w:hAnsi="Minion Pro" w:cs="Minion Pro"/>
          <w:b/>
          <w:bCs/>
          <w:sz w:val="36"/>
          <w:szCs w:val="36"/>
          <w:lang w:val="id-ID"/>
        </w:rPr>
      </w:pPr>
      <w:r>
        <w:rPr>
          <w:rFonts w:ascii="Minion Pro" w:eastAsia="Minion Pro" w:hAnsi="Minion Pro" w:cs="Minion Pro"/>
          <w:b/>
          <w:bCs/>
          <w:color w:val="337AB7"/>
          <w:sz w:val="36"/>
          <w:szCs w:val="36"/>
          <w:lang w:val="id-ID"/>
        </w:rPr>
        <w:t xml:space="preserve">An Economic Analysis Ecoshrimp White Shrimp (L </w:t>
      </w:r>
      <w:r w:rsidRPr="002E3E0C">
        <w:rPr>
          <w:rFonts w:ascii="Minion Pro" w:eastAsia="Minion Pro" w:hAnsi="Minion Pro" w:cs="Minion Pro"/>
          <w:b/>
          <w:bCs/>
          <w:i/>
          <w:color w:val="337AB7"/>
          <w:sz w:val="36"/>
          <w:szCs w:val="36"/>
          <w:lang w:val="id-ID"/>
        </w:rPr>
        <w:t>vanname</w:t>
      </w:r>
      <w:r>
        <w:rPr>
          <w:rFonts w:ascii="Minion Pro" w:eastAsia="Minion Pro" w:hAnsi="Minion Pro" w:cs="Minion Pro"/>
          <w:b/>
          <w:bCs/>
          <w:color w:val="337AB7"/>
          <w:sz w:val="36"/>
          <w:szCs w:val="36"/>
          <w:lang w:val="id-ID"/>
        </w:rPr>
        <w:t>) Concept on Shrimp Culture with Plastic Pond, Indonesia</w:t>
      </w:r>
    </w:p>
    <w:p w:rsidR="008C4982" w:rsidRPr="008C4982" w:rsidRDefault="008C4982" w:rsidP="008C4982">
      <w:pPr>
        <w:widowControl w:val="0"/>
        <w:spacing w:before="73" w:after="0" w:line="198" w:lineRule="exact"/>
        <w:ind w:left="100" w:right="5987"/>
        <w:rPr>
          <w:rFonts w:ascii="Arial" w:eastAsia="Tw Cen MT" w:hAnsi="Tw Cen MT" w:cs="Tw Cen MT"/>
          <w:sz w:val="20"/>
          <w:szCs w:val="18"/>
        </w:rPr>
      </w:pPr>
      <w:r>
        <w:rPr>
          <w:rFonts w:ascii="Arial" w:eastAsia="Tw Cen MT" w:hAnsi="Tw Cen MT" w:cs="Tw Cen MT"/>
          <w:sz w:val="18"/>
          <w:szCs w:val="18"/>
          <w:lang w:val="id-ID"/>
        </w:rPr>
        <w:t>Wahyu Puji Astiyani, Sha Miao,</w:t>
      </w:r>
      <w:r w:rsidRPr="008C4982">
        <w:rPr>
          <w:rFonts w:ascii="Arial" w:eastAsia="Tw Cen MT" w:hAnsi="Tw Cen MT" w:cs="Tw Cen MT"/>
          <w:sz w:val="18"/>
          <w:szCs w:val="18"/>
        </w:rPr>
        <w:t xml:space="preserve"> </w:t>
      </w:r>
      <w:r>
        <w:rPr>
          <w:rFonts w:ascii="Arial" w:eastAsia="Tw Cen MT" w:hAnsi="Tw Cen MT" w:cs="Tw Cen MT"/>
          <w:sz w:val="18"/>
          <w:szCs w:val="18"/>
          <w:lang w:val="id-ID"/>
        </w:rPr>
        <w:t>National Taiwan Ocean University, Taiwan, ROC.</w:t>
      </w:r>
      <w:r w:rsidRPr="008C4982">
        <w:rPr>
          <w:rFonts w:ascii="Arial" w:eastAsia="Tw Cen MT" w:hAnsi="Tw Cen MT" w:cs="Tw Cen MT"/>
          <w:sz w:val="18"/>
          <w:szCs w:val="18"/>
        </w:rPr>
        <w:t xml:space="preserve"> </w:t>
      </w:r>
    </w:p>
    <w:p w:rsidR="008C4982" w:rsidRPr="008C4982" w:rsidRDefault="008C4982" w:rsidP="008C4982">
      <w:pPr>
        <w:widowControl w:val="0"/>
        <w:spacing w:before="3" w:after="0" w:line="240" w:lineRule="auto"/>
        <w:rPr>
          <w:rFonts w:ascii="Arial" w:eastAsia="Tw Cen MT" w:hAnsi="Tw Cen MT" w:cs="Tw Cen MT"/>
          <w:sz w:val="21"/>
          <w:szCs w:val="18"/>
        </w:rPr>
      </w:pPr>
    </w:p>
    <w:p w:rsidR="008C4982" w:rsidRPr="008C4982" w:rsidRDefault="008C4982" w:rsidP="008C4982">
      <w:pPr>
        <w:spacing w:after="0" w:line="240" w:lineRule="auto"/>
        <w:rPr>
          <w:rFonts w:ascii="Arial" w:eastAsia="Tw Cen MT" w:hAnsi="Tw Cen MT" w:cs="Tw Cen MT"/>
          <w:sz w:val="21"/>
        </w:rPr>
        <w:sectPr w:rsidR="008C4982" w:rsidRPr="008C4982">
          <w:pgSz w:w="11910" w:h="16840"/>
          <w:pgMar w:top="1740" w:right="600" w:bottom="840" w:left="620" w:header="541" w:footer="642" w:gutter="0"/>
          <w:cols w:space="720"/>
        </w:sectPr>
      </w:pPr>
    </w:p>
    <w:p w:rsidR="008C4982" w:rsidRPr="008C4982" w:rsidRDefault="008C4982" w:rsidP="008C4982">
      <w:pPr>
        <w:widowControl w:val="0"/>
        <w:spacing w:before="147" w:after="0" w:line="240" w:lineRule="auto"/>
        <w:ind w:left="100"/>
        <w:jc w:val="both"/>
        <w:outlineLvl w:val="2"/>
        <w:rPr>
          <w:rFonts w:ascii="Arial" w:eastAsia="Arial" w:hAnsi="Arial" w:cs="Arial"/>
          <w:b/>
          <w:bCs/>
          <w:sz w:val="20"/>
          <w:szCs w:val="20"/>
        </w:rPr>
      </w:pPr>
      <w:r w:rsidRPr="008C4982">
        <w:rPr>
          <w:rFonts w:ascii="Arial" w:eastAsia="Arial" w:hAnsi="Arial" w:cs="Arial"/>
          <w:b/>
          <w:bCs/>
          <w:color w:val="BF5A14"/>
          <w:sz w:val="20"/>
          <w:szCs w:val="20"/>
        </w:rPr>
        <w:lastRenderedPageBreak/>
        <w:t xml:space="preserve">Abstract </w:t>
      </w:r>
    </w:p>
    <w:p w:rsidR="002E3E0C" w:rsidRPr="002E3E0C" w:rsidRDefault="002E3E0C" w:rsidP="002E3E0C">
      <w:pPr>
        <w:widowControl w:val="0"/>
        <w:spacing w:before="74" w:after="0" w:line="240" w:lineRule="auto"/>
        <w:ind w:left="100"/>
        <w:jc w:val="both"/>
        <w:outlineLvl w:val="2"/>
        <w:rPr>
          <w:rFonts w:ascii="Tw Cen MT" w:eastAsia="Tw Cen MT" w:hAnsi="Tw Cen MT" w:cs="Tw Cen MT"/>
          <w:sz w:val="18"/>
          <w:szCs w:val="18"/>
        </w:rPr>
      </w:pPr>
      <w:r w:rsidRPr="002E3E0C">
        <w:rPr>
          <w:rFonts w:ascii="Tw Cen MT" w:eastAsia="Tw Cen MT" w:hAnsi="Tw Cen MT" w:cs="Tw Cen MT"/>
          <w:sz w:val="18"/>
          <w:szCs w:val="18"/>
        </w:rPr>
        <w:t xml:space="preserve">This study </w:t>
      </w:r>
      <w:proofErr w:type="gramStart"/>
      <w:r w:rsidRPr="002E3E0C">
        <w:rPr>
          <w:rFonts w:ascii="Tw Cen MT" w:eastAsia="Tw Cen MT" w:hAnsi="Tw Cen MT" w:cs="Tw Cen MT"/>
          <w:sz w:val="18"/>
          <w:szCs w:val="18"/>
        </w:rPr>
        <w:t>present</w:t>
      </w:r>
      <w:proofErr w:type="gramEnd"/>
      <w:r w:rsidRPr="002E3E0C">
        <w:rPr>
          <w:rFonts w:ascii="Tw Cen MT" w:eastAsia="Tw Cen MT" w:hAnsi="Tw Cen MT" w:cs="Tw Cen MT"/>
          <w:sz w:val="18"/>
          <w:szCs w:val="18"/>
        </w:rPr>
        <w:t xml:space="preserve"> an economic analysis of white shrimp farming at different size of ponds in </w:t>
      </w:r>
      <w:proofErr w:type="spellStart"/>
      <w:r w:rsidRPr="002E3E0C">
        <w:rPr>
          <w:rFonts w:ascii="Tw Cen MT" w:eastAsia="Tw Cen MT" w:hAnsi="Tw Cen MT" w:cs="Tw Cen MT"/>
          <w:sz w:val="18"/>
          <w:szCs w:val="18"/>
        </w:rPr>
        <w:t>Pacitan</w:t>
      </w:r>
      <w:proofErr w:type="spellEnd"/>
      <w:r w:rsidRPr="002E3E0C">
        <w:rPr>
          <w:rFonts w:ascii="Tw Cen MT" w:eastAsia="Tw Cen MT" w:hAnsi="Tw Cen MT" w:cs="Tw Cen MT"/>
          <w:sz w:val="18"/>
          <w:szCs w:val="18"/>
        </w:rPr>
        <w:t xml:space="preserve"> district, East Java, Indonesia. Forty white shrimp farms selected from two different size of ponds. The sample sizes then were categorized into two scales (small and large) which small size ponds was 400 – 600 m2, and large size ponds was 1000 m2 based on their production cost. Two sets of variables were carefully determined. The first set was the biological type which consisted of stocking density, survival rate and feed conversion ratio whereas the second set was the economic type which consisted on input intensity.  </w:t>
      </w:r>
    </w:p>
    <w:p w:rsidR="008C4982" w:rsidRPr="002E3E0C" w:rsidRDefault="002E3E0C" w:rsidP="002E3E0C">
      <w:pPr>
        <w:widowControl w:val="0"/>
        <w:spacing w:before="74" w:after="0" w:line="240" w:lineRule="auto"/>
        <w:ind w:left="100"/>
        <w:jc w:val="both"/>
        <w:outlineLvl w:val="2"/>
        <w:rPr>
          <w:rFonts w:ascii="Arial" w:eastAsia="Arial" w:hAnsi="Arial" w:cs="Arial"/>
          <w:b/>
          <w:bCs/>
          <w:sz w:val="20"/>
          <w:szCs w:val="20"/>
        </w:rPr>
      </w:pPr>
      <w:r w:rsidRPr="002E3E0C">
        <w:rPr>
          <w:rFonts w:ascii="Tw Cen MT" w:eastAsia="Tw Cen MT" w:hAnsi="Tw Cen MT" w:cs="Tw Cen MT"/>
          <w:sz w:val="18"/>
          <w:szCs w:val="18"/>
        </w:rPr>
        <w:t xml:space="preserve">Multivariate statistical concepts were applied which included multivariate analysis (MANOVA) and principle component analysis. The Cobb-Douglas production function was further used to study the current status of white shrimp production system. As a </w:t>
      </w:r>
      <w:proofErr w:type="gramStart"/>
      <w:r w:rsidRPr="002E3E0C">
        <w:rPr>
          <w:rFonts w:ascii="Tw Cen MT" w:eastAsia="Tw Cen MT" w:hAnsi="Tw Cen MT" w:cs="Tw Cen MT"/>
          <w:sz w:val="18"/>
          <w:szCs w:val="18"/>
        </w:rPr>
        <w:t>result</w:t>
      </w:r>
      <w:proofErr w:type="gramEnd"/>
      <w:r w:rsidRPr="002E3E0C">
        <w:rPr>
          <w:rFonts w:ascii="Tw Cen MT" w:eastAsia="Tw Cen MT" w:hAnsi="Tw Cen MT" w:cs="Tw Cen MT"/>
          <w:sz w:val="18"/>
          <w:szCs w:val="18"/>
        </w:rPr>
        <w:t xml:space="preserve"> indicates that there was significant effect on small and large white shrimp farming system in </w:t>
      </w:r>
      <w:proofErr w:type="spellStart"/>
      <w:r w:rsidRPr="002E3E0C">
        <w:rPr>
          <w:rFonts w:ascii="Tw Cen MT" w:eastAsia="Tw Cen MT" w:hAnsi="Tw Cen MT" w:cs="Tw Cen MT"/>
          <w:sz w:val="18"/>
          <w:szCs w:val="18"/>
        </w:rPr>
        <w:t>Pacitan</w:t>
      </w:r>
      <w:proofErr w:type="spellEnd"/>
      <w:r w:rsidRPr="002E3E0C">
        <w:rPr>
          <w:rFonts w:ascii="Tw Cen MT" w:eastAsia="Tw Cen MT" w:hAnsi="Tw Cen MT" w:cs="Tw Cen MT"/>
          <w:sz w:val="18"/>
          <w:szCs w:val="18"/>
        </w:rPr>
        <w:t xml:space="preserve"> district, East Java Indonesia by using the multivariate input variables. The principal component analysis showed that large ponds farm had higher intensity in overall input compare with small pond. Finally, the Cobb-Douglas production function analysis indicated that unit of the net return was strongly determined by the input intensities of labor. The analysis also reported an increasing return to scale existed.</w:t>
      </w:r>
    </w:p>
    <w:p w:rsidR="002E3E0C" w:rsidRDefault="008C4982" w:rsidP="008C4982">
      <w:pPr>
        <w:widowControl w:val="0"/>
        <w:spacing w:after="0" w:line="204" w:lineRule="exact"/>
        <w:rPr>
          <w:rFonts w:ascii="Arial" w:eastAsia="Tw Cen MT" w:hAnsi="Tw Cen MT" w:cs="Tw Cen MT"/>
          <w:b/>
          <w:color w:val="BF5A14"/>
          <w:sz w:val="20"/>
        </w:rPr>
      </w:pPr>
      <w:r w:rsidRPr="008C4982">
        <w:rPr>
          <w:rFonts w:ascii="Arial" w:eastAsia="Tw Cen MT" w:hAnsi="Tw Cen MT" w:cs="Tw Cen MT"/>
          <w:b/>
          <w:color w:val="BF5A14"/>
          <w:sz w:val="20"/>
        </w:rPr>
        <w:lastRenderedPageBreak/>
        <w:br/>
      </w:r>
    </w:p>
    <w:p w:rsidR="008C4982" w:rsidRPr="008C4982" w:rsidRDefault="008C4982" w:rsidP="008C4982">
      <w:pPr>
        <w:widowControl w:val="0"/>
        <w:spacing w:after="0" w:line="204" w:lineRule="exact"/>
        <w:rPr>
          <w:rFonts w:ascii="Arial" w:eastAsia="Tw Cen MT" w:hAnsi="Tw Cen MT" w:cs="Tw Cen MT"/>
          <w:b/>
          <w:sz w:val="20"/>
        </w:rPr>
      </w:pPr>
      <w:r w:rsidRPr="008C4982">
        <w:rPr>
          <w:rFonts w:ascii="Arial" w:eastAsia="Tw Cen MT" w:hAnsi="Tw Cen MT" w:cs="Tw Cen MT"/>
          <w:b/>
          <w:color w:val="BF5A14"/>
          <w:sz w:val="20"/>
        </w:rPr>
        <w:t>Recent Publications (minimum 5)</w:t>
      </w:r>
    </w:p>
    <w:p w:rsidR="002E3E0C" w:rsidRDefault="002E3E0C" w:rsidP="002E3E0C">
      <w:pPr>
        <w:widowControl w:val="0"/>
        <w:numPr>
          <w:ilvl w:val="0"/>
          <w:numId w:val="1"/>
        </w:numPr>
        <w:tabs>
          <w:tab w:val="left" w:pos="384"/>
        </w:tabs>
        <w:spacing w:before="90" w:after="0" w:line="216" w:lineRule="exact"/>
        <w:ind w:right="137"/>
        <w:jc w:val="both"/>
        <w:rPr>
          <w:rFonts w:ascii="Calibri" w:eastAsia="Calibri" w:hAnsi="Calibri" w:cs="Calibri"/>
          <w:sz w:val="18"/>
        </w:rPr>
      </w:pPr>
      <w:r w:rsidRPr="002E3E0C">
        <w:rPr>
          <w:rFonts w:ascii="Calibri" w:eastAsia="Calibri" w:hAnsi="Calibri" w:cs="Calibri"/>
          <w:sz w:val="18"/>
        </w:rPr>
        <w:t xml:space="preserve">Boyd, C. E., &amp; Clay, J. W. (1998). Shrimp aquaculture and the environment. Scientific American, 278(6), 58-65. </w:t>
      </w:r>
    </w:p>
    <w:p w:rsidR="002E3E0C" w:rsidRDefault="002E3E0C" w:rsidP="002E3E0C">
      <w:pPr>
        <w:widowControl w:val="0"/>
        <w:numPr>
          <w:ilvl w:val="0"/>
          <w:numId w:val="1"/>
        </w:numPr>
        <w:tabs>
          <w:tab w:val="left" w:pos="384"/>
        </w:tabs>
        <w:spacing w:before="90" w:after="0" w:line="216" w:lineRule="exact"/>
        <w:ind w:right="138"/>
        <w:jc w:val="both"/>
        <w:rPr>
          <w:rFonts w:ascii="Calibri" w:eastAsia="Calibri" w:hAnsi="Calibri" w:cs="Calibri"/>
          <w:sz w:val="18"/>
        </w:rPr>
      </w:pPr>
      <w:r w:rsidRPr="002E3E0C">
        <w:rPr>
          <w:rFonts w:ascii="Calibri" w:eastAsia="Calibri" w:hAnsi="Calibri" w:cs="Calibri"/>
          <w:sz w:val="18"/>
        </w:rPr>
        <w:t xml:space="preserve">FAO. (2011a). </w:t>
      </w:r>
      <w:proofErr w:type="spellStart"/>
      <w:r w:rsidRPr="002E3E0C">
        <w:rPr>
          <w:rFonts w:ascii="Calibri" w:eastAsia="Calibri" w:hAnsi="Calibri" w:cs="Calibri"/>
          <w:sz w:val="18"/>
        </w:rPr>
        <w:t>Litepenaeus</w:t>
      </w:r>
      <w:proofErr w:type="spellEnd"/>
      <w:r w:rsidRPr="002E3E0C">
        <w:rPr>
          <w:rFonts w:ascii="Calibri" w:eastAsia="Calibri" w:hAnsi="Calibri" w:cs="Calibri"/>
          <w:sz w:val="18"/>
        </w:rPr>
        <w:t xml:space="preserve"> </w:t>
      </w:r>
      <w:proofErr w:type="spellStart"/>
      <w:r w:rsidRPr="002E3E0C">
        <w:rPr>
          <w:rFonts w:ascii="Calibri" w:eastAsia="Calibri" w:hAnsi="Calibri" w:cs="Calibri"/>
          <w:sz w:val="18"/>
        </w:rPr>
        <w:t>vannamei</w:t>
      </w:r>
      <w:proofErr w:type="spellEnd"/>
      <w:r w:rsidRPr="002E3E0C">
        <w:rPr>
          <w:rFonts w:ascii="Calibri" w:eastAsia="Calibri" w:hAnsi="Calibri" w:cs="Calibri"/>
          <w:sz w:val="18"/>
        </w:rPr>
        <w:t xml:space="preserve"> (Boone 1931). Integrated Taxonomic Information System.</w:t>
      </w:r>
    </w:p>
    <w:p w:rsidR="002E3E0C" w:rsidRDefault="002E3E0C" w:rsidP="002E3E0C">
      <w:pPr>
        <w:widowControl w:val="0"/>
        <w:numPr>
          <w:ilvl w:val="0"/>
          <w:numId w:val="1"/>
        </w:numPr>
        <w:tabs>
          <w:tab w:val="left" w:pos="384"/>
        </w:tabs>
        <w:spacing w:before="92" w:after="0" w:line="218" w:lineRule="exact"/>
        <w:jc w:val="both"/>
        <w:rPr>
          <w:rFonts w:ascii="Calibri" w:eastAsia="Calibri" w:hAnsi="Calibri" w:cs="Calibri"/>
          <w:sz w:val="18"/>
        </w:rPr>
      </w:pPr>
      <w:r w:rsidRPr="002E3E0C">
        <w:rPr>
          <w:rFonts w:ascii="Calibri" w:eastAsia="Calibri" w:hAnsi="Calibri" w:cs="Calibri"/>
          <w:sz w:val="18"/>
        </w:rPr>
        <w:t>Hatch, U., and T. C. Feng</w:t>
      </w:r>
      <w:proofErr w:type="gramStart"/>
      <w:r w:rsidRPr="002E3E0C">
        <w:rPr>
          <w:rFonts w:ascii="Calibri" w:eastAsia="Calibri" w:hAnsi="Calibri" w:cs="Calibri"/>
          <w:sz w:val="18"/>
        </w:rPr>
        <w:t>. .</w:t>
      </w:r>
      <w:proofErr w:type="gramEnd"/>
      <w:r w:rsidRPr="002E3E0C">
        <w:rPr>
          <w:rFonts w:ascii="Calibri" w:eastAsia="Calibri" w:hAnsi="Calibri" w:cs="Calibri"/>
          <w:sz w:val="18"/>
        </w:rPr>
        <w:t xml:space="preserve"> (1997). A survey of Aquaculture Production Economics and Management</w:t>
      </w:r>
      <w:proofErr w:type="gramStart"/>
      <w:r w:rsidRPr="002E3E0C">
        <w:rPr>
          <w:rFonts w:ascii="Calibri" w:eastAsia="Calibri" w:hAnsi="Calibri" w:cs="Calibri"/>
          <w:sz w:val="18"/>
        </w:rPr>
        <w:t>. .</w:t>
      </w:r>
      <w:proofErr w:type="gramEnd"/>
      <w:r w:rsidRPr="002E3E0C">
        <w:rPr>
          <w:rFonts w:ascii="Calibri" w:eastAsia="Calibri" w:hAnsi="Calibri" w:cs="Calibri"/>
          <w:sz w:val="18"/>
        </w:rPr>
        <w:t xml:space="preserve"> Aquaculture Economics &amp; Management, 1:1-2, 13-27. </w:t>
      </w:r>
    </w:p>
    <w:p w:rsidR="002E3E0C" w:rsidRDefault="002E3E0C" w:rsidP="008C4982">
      <w:pPr>
        <w:widowControl w:val="0"/>
        <w:spacing w:before="85" w:after="0" w:line="216" w:lineRule="exact"/>
        <w:ind w:left="383" w:right="138" w:hanging="284"/>
        <w:jc w:val="both"/>
        <w:rPr>
          <w:rFonts w:ascii="Calibri" w:eastAsia="Calibri" w:hAnsi="Calibri" w:cs="Calibri"/>
          <w:sz w:val="18"/>
        </w:rPr>
      </w:pPr>
      <w:r>
        <w:rPr>
          <w:rFonts w:ascii="Calibri" w:eastAsia="Calibri" w:hAnsi="Calibri" w:cs="Calibri"/>
          <w:sz w:val="18"/>
          <w:lang w:val="id-ID"/>
        </w:rPr>
        <w:t xml:space="preserve">4. </w:t>
      </w:r>
      <w:proofErr w:type="spellStart"/>
      <w:r w:rsidRPr="002E3E0C">
        <w:rPr>
          <w:rFonts w:ascii="Calibri" w:eastAsia="Calibri" w:hAnsi="Calibri" w:cs="Calibri"/>
          <w:sz w:val="18"/>
        </w:rPr>
        <w:t>Jolliffe</w:t>
      </w:r>
      <w:proofErr w:type="spellEnd"/>
      <w:r w:rsidRPr="002E3E0C">
        <w:rPr>
          <w:rFonts w:ascii="Calibri" w:eastAsia="Calibri" w:hAnsi="Calibri" w:cs="Calibri"/>
          <w:sz w:val="18"/>
        </w:rPr>
        <w:t xml:space="preserve">, I. T. (1986). Principle Component Analysis. Mathematical Institute University of </w:t>
      </w:r>
      <w:proofErr w:type="spellStart"/>
      <w:r w:rsidRPr="002E3E0C">
        <w:rPr>
          <w:rFonts w:ascii="Calibri" w:eastAsia="Calibri" w:hAnsi="Calibri" w:cs="Calibri"/>
          <w:sz w:val="18"/>
        </w:rPr>
        <w:t>kent</w:t>
      </w:r>
      <w:proofErr w:type="spellEnd"/>
      <w:r w:rsidRPr="002E3E0C">
        <w:rPr>
          <w:rFonts w:ascii="Calibri" w:eastAsia="Calibri" w:hAnsi="Calibri" w:cs="Calibri"/>
          <w:sz w:val="18"/>
        </w:rPr>
        <w:t xml:space="preserve"> Canterbury </w:t>
      </w:r>
      <w:proofErr w:type="spellStart"/>
      <w:r w:rsidRPr="002E3E0C">
        <w:rPr>
          <w:rFonts w:ascii="Calibri" w:eastAsia="Calibri" w:hAnsi="Calibri" w:cs="Calibri"/>
          <w:sz w:val="18"/>
        </w:rPr>
        <w:t>kent</w:t>
      </w:r>
      <w:proofErr w:type="spellEnd"/>
      <w:r w:rsidRPr="002E3E0C">
        <w:rPr>
          <w:rFonts w:ascii="Calibri" w:eastAsia="Calibri" w:hAnsi="Calibri" w:cs="Calibri"/>
          <w:sz w:val="18"/>
        </w:rPr>
        <w:t xml:space="preserve"> CT2 7NF England.</w:t>
      </w:r>
    </w:p>
    <w:p w:rsidR="008C4982" w:rsidRPr="008C4982" w:rsidRDefault="008C4982" w:rsidP="008C4982">
      <w:pPr>
        <w:widowControl w:val="0"/>
        <w:spacing w:before="85" w:after="0" w:line="216" w:lineRule="exact"/>
        <w:ind w:left="383" w:right="138" w:hanging="284"/>
        <w:jc w:val="both"/>
        <w:rPr>
          <w:rFonts w:ascii="Calibri" w:eastAsia="Tw Cen MT" w:hAnsi="Calibri" w:cs="Tw Cen MT"/>
          <w:sz w:val="18"/>
          <w:szCs w:val="18"/>
        </w:rPr>
      </w:pPr>
      <w:r w:rsidRPr="008C4982">
        <w:rPr>
          <w:rFonts w:ascii="Calibri" w:eastAsia="Tw Cen MT" w:hAnsi="Calibri" w:cs="Tw Cen MT"/>
          <w:sz w:val="18"/>
          <w:szCs w:val="18"/>
        </w:rPr>
        <w:t xml:space="preserve">5. </w:t>
      </w:r>
      <w:r w:rsidR="002E3E0C" w:rsidRPr="002E3E0C">
        <w:rPr>
          <w:rFonts w:ascii="Calibri" w:eastAsia="Tw Cen MT" w:hAnsi="Calibri" w:cs="Tw Cen MT"/>
          <w:sz w:val="18"/>
          <w:szCs w:val="18"/>
        </w:rPr>
        <w:t xml:space="preserve">Liao, I. C., &amp; </w:t>
      </w:r>
      <w:proofErr w:type="spellStart"/>
      <w:r w:rsidR="002E3E0C" w:rsidRPr="002E3E0C">
        <w:rPr>
          <w:rFonts w:ascii="Calibri" w:eastAsia="Tw Cen MT" w:hAnsi="Calibri" w:cs="Tw Cen MT"/>
          <w:sz w:val="18"/>
          <w:szCs w:val="18"/>
        </w:rPr>
        <w:t>Chien</w:t>
      </w:r>
      <w:proofErr w:type="spellEnd"/>
      <w:r w:rsidR="002E3E0C" w:rsidRPr="002E3E0C">
        <w:rPr>
          <w:rFonts w:ascii="Calibri" w:eastAsia="Tw Cen MT" w:hAnsi="Calibri" w:cs="Tw Cen MT"/>
          <w:sz w:val="18"/>
          <w:szCs w:val="18"/>
        </w:rPr>
        <w:t xml:space="preserve">, Y.-H. (2011). The Pacific White Shrimp, </w:t>
      </w:r>
      <w:proofErr w:type="spellStart"/>
      <w:r w:rsidR="002E3E0C" w:rsidRPr="002E3E0C">
        <w:rPr>
          <w:rFonts w:ascii="Calibri" w:eastAsia="Tw Cen MT" w:hAnsi="Calibri" w:cs="Tw Cen MT"/>
          <w:sz w:val="18"/>
          <w:szCs w:val="18"/>
        </w:rPr>
        <w:t>Litopenaeus</w:t>
      </w:r>
      <w:proofErr w:type="spellEnd"/>
      <w:r w:rsidR="002E3E0C" w:rsidRPr="002E3E0C">
        <w:rPr>
          <w:rFonts w:ascii="Calibri" w:eastAsia="Tw Cen MT" w:hAnsi="Calibri" w:cs="Tw Cen MT"/>
          <w:sz w:val="18"/>
          <w:szCs w:val="18"/>
        </w:rPr>
        <w:t xml:space="preserve"> </w:t>
      </w:r>
      <w:proofErr w:type="spellStart"/>
      <w:r w:rsidR="002E3E0C" w:rsidRPr="002E3E0C">
        <w:rPr>
          <w:rFonts w:ascii="Calibri" w:eastAsia="Tw Cen MT" w:hAnsi="Calibri" w:cs="Tw Cen MT"/>
          <w:sz w:val="18"/>
          <w:szCs w:val="18"/>
        </w:rPr>
        <w:t>vannamei</w:t>
      </w:r>
      <w:proofErr w:type="spellEnd"/>
      <w:r w:rsidR="002E3E0C" w:rsidRPr="002E3E0C">
        <w:rPr>
          <w:rFonts w:ascii="Calibri" w:eastAsia="Tw Cen MT" w:hAnsi="Calibri" w:cs="Tw Cen MT"/>
          <w:sz w:val="18"/>
          <w:szCs w:val="18"/>
        </w:rPr>
        <w:t xml:space="preserve">, in Asia: The World’s Most Widely Cultured Alien Crustacean </w:t>
      </w:r>
      <w:proofErr w:type="gramStart"/>
      <w:r w:rsidR="002E3E0C" w:rsidRPr="002E3E0C">
        <w:rPr>
          <w:rFonts w:ascii="Calibri" w:eastAsia="Tw Cen MT" w:hAnsi="Calibri" w:cs="Tw Cen MT"/>
          <w:sz w:val="18"/>
          <w:szCs w:val="18"/>
        </w:rPr>
        <w:t>In</w:t>
      </w:r>
      <w:proofErr w:type="gramEnd"/>
      <w:r w:rsidR="002E3E0C" w:rsidRPr="002E3E0C">
        <w:rPr>
          <w:rFonts w:ascii="Calibri" w:eastAsia="Tw Cen MT" w:hAnsi="Calibri" w:cs="Tw Cen MT"/>
          <w:sz w:val="18"/>
          <w:szCs w:val="18"/>
        </w:rPr>
        <w:t xml:space="preserve"> the Wrong Place-Alien Marine Crustaceans: Distribution, Biology and Impacts (pp. 489-519): Springer.</w:t>
      </w:r>
    </w:p>
    <w:p w:rsidR="008C4982" w:rsidRPr="008C4982" w:rsidRDefault="008C4982" w:rsidP="008C4982">
      <w:pPr>
        <w:widowControl w:val="0"/>
        <w:tabs>
          <w:tab w:val="left" w:pos="384"/>
        </w:tabs>
        <w:spacing w:after="0" w:line="240" w:lineRule="auto"/>
        <w:ind w:right="117"/>
        <w:rPr>
          <w:rFonts w:ascii="Tw Cen MT" w:eastAsia="Tw Cen MT" w:hAnsi="Tw Cen MT" w:cs="Tw Cen MT"/>
        </w:rPr>
      </w:pPr>
    </w:p>
    <w:p w:rsidR="008C4982" w:rsidRPr="008C4982" w:rsidRDefault="008C4982" w:rsidP="008C4982">
      <w:pPr>
        <w:widowControl w:val="0"/>
        <w:spacing w:after="0" w:line="200" w:lineRule="exact"/>
        <w:jc w:val="both"/>
        <w:rPr>
          <w:rFonts w:ascii="Calibri" w:eastAsia="Tw Cen MT" w:hAnsi="Calibri" w:cs="Tw Cen MT"/>
        </w:rPr>
      </w:pPr>
      <w:r w:rsidRPr="008C4982">
        <w:rPr>
          <w:rFonts w:ascii="Calibri" w:eastAsia="Tw Cen MT" w:hAnsi="Calibri" w:cs="Tw Cen MT"/>
        </w:rPr>
        <w:t xml:space="preserve">   </w:t>
      </w:r>
    </w:p>
    <w:p w:rsidR="008C4982" w:rsidRPr="008C4982" w:rsidRDefault="008C4982" w:rsidP="008C4982">
      <w:pPr>
        <w:spacing w:after="0" w:line="240" w:lineRule="auto"/>
        <w:rPr>
          <w:rFonts w:ascii="Calibri" w:eastAsia="Tw Cen MT" w:hAnsi="Calibri" w:cs="Tw Cen MT"/>
        </w:rPr>
        <w:sectPr w:rsidR="008C4982" w:rsidRPr="008C4982">
          <w:type w:val="continuous"/>
          <w:pgSz w:w="11910" w:h="16840"/>
          <w:pgMar w:top="1740" w:right="600" w:bottom="840" w:left="620" w:header="720" w:footer="720" w:gutter="0"/>
          <w:cols w:num="2" w:space="720" w:equalWidth="0">
            <w:col w:w="5214" w:space="138"/>
            <w:col w:w="5338"/>
          </w:cols>
        </w:sectPr>
      </w:pPr>
    </w:p>
    <w:p w:rsidR="008C4982" w:rsidRPr="008C4982" w:rsidRDefault="008C4982" w:rsidP="008C4982">
      <w:pPr>
        <w:widowControl w:val="0"/>
        <w:spacing w:after="0" w:line="240" w:lineRule="auto"/>
        <w:rPr>
          <w:rFonts w:ascii="Calibri" w:eastAsia="Tw Cen MT" w:hAnsi="Tw Cen MT" w:cs="Tw Cen MT"/>
          <w:sz w:val="20"/>
          <w:szCs w:val="18"/>
        </w:rPr>
      </w:pPr>
    </w:p>
    <w:p w:rsidR="008C4982" w:rsidRPr="008C4982" w:rsidRDefault="008C4982" w:rsidP="008C4982">
      <w:pPr>
        <w:widowControl w:val="0"/>
        <w:spacing w:after="0" w:line="40" w:lineRule="exact"/>
        <w:ind w:left="2202"/>
        <w:rPr>
          <w:rFonts w:ascii="Calibri" w:eastAsia="Tw Cen MT" w:hAnsi="Tw Cen MT" w:cs="Tw Cen MT"/>
          <w:sz w:val="4"/>
          <w:szCs w:val="18"/>
        </w:rPr>
      </w:pPr>
      <w:r w:rsidRPr="008C4982">
        <w:rPr>
          <w:rFonts w:ascii="Tw Cen MT" w:eastAsia="Tw Cen MT" w:hAnsi="Tw Cen MT" w:cs="Tw Cen MT"/>
          <w:noProof/>
          <w:sz w:val="18"/>
          <w:szCs w:val="18"/>
          <w:lang w:val="id-ID" w:eastAsia="id-ID"/>
        </w:rPr>
        <mc:AlternateContent>
          <mc:Choice Requires="wpg">
            <w:drawing>
              <wp:inline distT="0" distB="0" distL="0" distR="0" wp14:anchorId="72EA31A1" wp14:editId="1D7ED784">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971681"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8A1CBC" w:rsidRDefault="008A1CBC" w:rsidP="008C4982">
      <w:pPr>
        <w:widowControl w:val="0"/>
        <w:spacing w:before="92" w:after="0" w:line="240" w:lineRule="auto"/>
        <w:ind w:right="4234"/>
        <w:rPr>
          <w:rFonts w:ascii="Tw Cen MT" w:eastAsia="Tw Cen MT" w:hAnsi="Tw Cen MT" w:cs="Tw Cen MT"/>
          <w:noProof/>
          <w:lang w:val="id-ID" w:eastAsia="id-ID"/>
        </w:rPr>
      </w:pPr>
      <w:r>
        <w:rPr>
          <w:rFonts w:ascii="Tw Cen MT" w:eastAsia="Tw Cen MT" w:hAnsi="Tw Cen MT" w:cs="Tw Cen MT"/>
          <w:noProof/>
          <w:lang w:val="id-ID" w:eastAsia="id-ID"/>
        </w:rPr>
        <w:drawing>
          <wp:anchor distT="0" distB="0" distL="114300" distR="114300" simplePos="0" relativeHeight="251661312" behindDoc="1" locked="0" layoutInCell="1" allowOverlap="1" wp14:anchorId="7961F040" wp14:editId="3D4AB3BF">
            <wp:simplePos x="0" y="0"/>
            <wp:positionH relativeFrom="column">
              <wp:posOffset>158750</wp:posOffset>
            </wp:positionH>
            <wp:positionV relativeFrom="paragraph">
              <wp:posOffset>71120</wp:posOffset>
            </wp:positionV>
            <wp:extent cx="591185" cy="737870"/>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1185" cy="737870"/>
                    </a:xfrm>
                    <a:prstGeom prst="rect">
                      <a:avLst/>
                    </a:prstGeom>
                    <a:noFill/>
                  </pic:spPr>
                </pic:pic>
              </a:graphicData>
            </a:graphic>
          </wp:anchor>
        </w:drawing>
      </w:r>
      <w:r w:rsidR="008C4982" w:rsidRPr="008C4982">
        <w:rPr>
          <w:rFonts w:ascii="Tw Cen MT" w:eastAsia="Tw Cen MT" w:hAnsi="Tw Cen MT" w:cs="Tw Cen MT"/>
          <w:noProof/>
        </w:rPr>
        <w:t xml:space="preserve">              </w:t>
      </w:r>
    </w:p>
    <w:p w:rsidR="008A1CBC" w:rsidRDefault="008A1CBC" w:rsidP="008C4982">
      <w:pPr>
        <w:widowControl w:val="0"/>
        <w:spacing w:before="92" w:after="0" w:line="240" w:lineRule="auto"/>
        <w:ind w:right="4234"/>
        <w:rPr>
          <w:rFonts w:ascii="Tw Cen MT" w:eastAsia="Tw Cen MT" w:hAnsi="Tw Cen MT" w:cs="Tw Cen MT"/>
          <w:noProof/>
          <w:lang w:val="id-ID" w:eastAsia="id-ID"/>
        </w:rPr>
      </w:pPr>
    </w:p>
    <w:p w:rsidR="008A1CBC" w:rsidRDefault="008A1CBC" w:rsidP="008C4982">
      <w:pPr>
        <w:widowControl w:val="0"/>
        <w:spacing w:before="92" w:after="0" w:line="240" w:lineRule="auto"/>
        <w:ind w:right="4234"/>
        <w:rPr>
          <w:rFonts w:ascii="Tw Cen MT" w:eastAsia="Tw Cen MT" w:hAnsi="Tw Cen MT" w:cs="Tw Cen MT"/>
          <w:noProof/>
          <w:lang w:val="id-ID" w:eastAsia="id-ID"/>
        </w:rPr>
      </w:pPr>
    </w:p>
    <w:p w:rsidR="008A1CBC" w:rsidRDefault="008A1CBC" w:rsidP="008C4982">
      <w:pPr>
        <w:widowControl w:val="0"/>
        <w:spacing w:before="92" w:after="0" w:line="240" w:lineRule="auto"/>
        <w:ind w:right="4234"/>
        <w:rPr>
          <w:rFonts w:ascii="Tw Cen MT" w:eastAsia="Tw Cen MT" w:hAnsi="Tw Cen MT" w:cs="Tw Cen MT"/>
          <w:noProof/>
          <w:lang w:val="id-ID" w:eastAsia="id-ID"/>
        </w:rPr>
      </w:pPr>
    </w:p>
    <w:p w:rsidR="008C4982" w:rsidRPr="008C4982" w:rsidRDefault="008C4982" w:rsidP="008A1CBC">
      <w:pPr>
        <w:widowControl w:val="0"/>
        <w:spacing w:before="92" w:after="0" w:line="240" w:lineRule="auto"/>
        <w:ind w:right="4234" w:firstLine="213"/>
        <w:rPr>
          <w:rFonts w:ascii="Arial" w:eastAsia="Tw Cen MT" w:hAnsi="Tw Cen MT" w:cs="Tw Cen MT"/>
        </w:rPr>
      </w:pPr>
      <w:r w:rsidRPr="008C4982">
        <w:rPr>
          <w:rFonts w:ascii="Arial" w:eastAsia="Tw Cen MT" w:hAnsi="Tw Cen MT" w:cs="Tw Cen MT"/>
          <w:color w:val="BF5A14"/>
        </w:rPr>
        <w:t xml:space="preserve">Biography </w:t>
      </w:r>
    </w:p>
    <w:p w:rsidR="008C4982" w:rsidRPr="002E3E0C" w:rsidRDefault="002E3E0C" w:rsidP="008C4982">
      <w:pPr>
        <w:widowControl w:val="0"/>
        <w:spacing w:before="41" w:after="0" w:line="154" w:lineRule="exact"/>
        <w:ind w:left="213" w:right="231"/>
        <w:jc w:val="both"/>
        <w:rPr>
          <w:rFonts w:ascii="Arial" w:eastAsia="Tw Cen MT" w:hAnsi="Tw Cen MT" w:cs="Tw Cen MT"/>
          <w:sz w:val="14"/>
          <w:lang w:val="id-ID"/>
        </w:rPr>
      </w:pPr>
      <w:r>
        <w:rPr>
          <w:rFonts w:ascii="Arial" w:eastAsia="Tw Cen MT" w:hAnsi="Tw Cen MT" w:cs="Tw Cen MT"/>
          <w:sz w:val="14"/>
          <w:lang w:val="id-ID"/>
        </w:rPr>
        <w:t>My name is Wahyu Puji Astiyani, I am from indonesia. Right now I study in National Taiwan Ocean University. I took Mater of science especially in Economic Aquaculture under Proffesor Miao Sha</w:t>
      </w:r>
      <w:r w:rsidR="008A1CBC">
        <w:rPr>
          <w:rFonts w:ascii="Arial" w:eastAsia="Tw Cen MT" w:hAnsi="Tw Cen MT" w:cs="Tw Cen MT"/>
          <w:sz w:val="14"/>
          <w:lang w:val="id-ID"/>
        </w:rPr>
        <w:t xml:space="preserve"> in Aquaculture Economic &amp; Policy Planning Lab</w:t>
      </w:r>
      <w:r>
        <w:rPr>
          <w:rFonts w:ascii="Arial" w:eastAsia="Tw Cen MT" w:hAnsi="Tw Cen MT" w:cs="Tw Cen MT"/>
          <w:sz w:val="14"/>
          <w:lang w:val="id-ID"/>
        </w:rPr>
        <w:t xml:space="preserve">. I was study about an economic analysis ecoshrimp white shrim (L vanname) concept on shrimp culture with plastic pond, Indonesia and also become my thesis for complete my master degree. </w:t>
      </w:r>
      <w:r w:rsidR="008A1CBC">
        <w:rPr>
          <w:rFonts w:ascii="Arial" w:eastAsia="Tw Cen MT" w:hAnsi="Tw Cen MT" w:cs="Tw Cen MT"/>
          <w:sz w:val="14"/>
          <w:lang w:val="id-ID"/>
        </w:rPr>
        <w:t xml:space="preserve">Not only study about economic aquaculture but also study about policy plannig in Aquaculture. I made paper before related about Policy plannig namely </w:t>
      </w:r>
      <w:r w:rsidR="008A1CBC" w:rsidRPr="008A1CBC">
        <w:rPr>
          <w:rFonts w:ascii="Arial" w:eastAsia="Tw Cen MT" w:hAnsi="Tw Cen MT" w:cs="Tw Cen MT"/>
          <w:sz w:val="14"/>
          <w:lang w:val="id-ID"/>
        </w:rPr>
        <w:t>Combating Illegal, Unreported and Unregulated : Impact IUU Fishing in Indonesia Water</w:t>
      </w:r>
      <w:r w:rsidR="008A1CBC">
        <w:rPr>
          <w:rFonts w:ascii="Arial" w:eastAsia="Tw Cen MT" w:hAnsi="Tw Cen MT" w:cs="Tw Cen MT"/>
          <w:sz w:val="14"/>
          <w:lang w:val="id-ID"/>
        </w:rPr>
        <w:t xml:space="preserve"> was presented in International conference in Hokkaido University 2016. My activity along study in Taiwan not only become student but also I active in Overseas Indonesia Student Association Alliance in Taiwan. </w:t>
      </w:r>
    </w:p>
    <w:p w:rsidR="008C4982" w:rsidRPr="008C4982" w:rsidRDefault="008C4982" w:rsidP="008C4982">
      <w:pPr>
        <w:widowControl w:val="0"/>
        <w:spacing w:before="62" w:after="0" w:line="240" w:lineRule="auto"/>
        <w:ind w:left="4217" w:right="4235"/>
        <w:jc w:val="center"/>
        <w:rPr>
          <w:rFonts w:ascii="Arial" w:eastAsia="Tw Cen MT" w:hAnsi="Tw Cen MT" w:cs="Tw Cen MT"/>
          <w:sz w:val="14"/>
        </w:rPr>
      </w:pPr>
      <w:r w:rsidRPr="008C4982">
        <w:rPr>
          <w:rFonts w:ascii="Arial" w:eastAsia="Tw Cen MT" w:hAnsi="Tw Cen MT" w:cs="Tw Cen MT"/>
          <w:sz w:val="14"/>
        </w:rPr>
        <w:t xml:space="preserve">Email: </w:t>
      </w:r>
      <w:hyperlink r:id="rId6" w:history="1">
        <w:r w:rsidR="008A1CBC">
          <w:rPr>
            <w:rFonts w:ascii="Arial" w:eastAsia="Tw Cen MT" w:hAnsi="Tw Cen MT" w:cs="Tw Cen MT"/>
            <w:color w:val="0000FF"/>
            <w:sz w:val="14"/>
            <w:u w:val="single"/>
            <w:lang w:val="id-ID"/>
          </w:rPr>
          <w:t>wahyupujiastiyani@gmail.com</w:t>
        </w:r>
        <w:bookmarkStart w:id="0" w:name="_GoBack"/>
        <w:bookmarkEnd w:id="0"/>
      </w:hyperlink>
    </w:p>
    <w:p w:rsidR="008C4982" w:rsidRPr="008C4982" w:rsidRDefault="008C4982" w:rsidP="008C4982">
      <w:pPr>
        <w:widowControl w:val="0"/>
        <w:spacing w:before="2" w:after="0" w:line="240" w:lineRule="auto"/>
        <w:rPr>
          <w:rFonts w:ascii="Arial" w:eastAsia="Tw Cen MT" w:hAnsi="Tw Cen MT" w:cs="Tw Cen MT"/>
          <w:sz w:val="19"/>
          <w:szCs w:val="18"/>
        </w:rPr>
      </w:pPr>
      <w:r w:rsidRPr="008C4982">
        <w:rPr>
          <w:rFonts w:ascii="Tw Cen MT" w:eastAsia="Tw Cen MT" w:hAnsi="Tw Cen MT" w:cs="Tw Cen MT"/>
          <w:noProof/>
          <w:sz w:val="18"/>
          <w:szCs w:val="18"/>
          <w:lang w:val="id-ID" w:eastAsia="id-ID"/>
        </w:rPr>
        <mc:AlternateContent>
          <mc:Choice Requires="wps">
            <w:drawing>
              <wp:anchor distT="0" distB="0" distL="0" distR="0" simplePos="0" relativeHeight="251660288" behindDoc="0" locked="0" layoutInCell="1" allowOverlap="1" wp14:anchorId="6646D5ED" wp14:editId="4689DE42">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CE6A5" id="Straight Connector 1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8C4982" w:rsidRPr="008C4982" w:rsidRDefault="008C4982" w:rsidP="008C4982">
      <w:pPr>
        <w:widowControl w:val="0"/>
        <w:spacing w:after="0" w:line="240" w:lineRule="auto"/>
        <w:rPr>
          <w:rFonts w:ascii="Arial" w:eastAsia="Tw Cen MT" w:hAnsi="Tw Cen MT" w:cs="Tw Cen MT"/>
          <w:sz w:val="20"/>
          <w:szCs w:val="18"/>
        </w:rPr>
      </w:pPr>
    </w:p>
    <w:p w:rsidR="008C4982" w:rsidRPr="008C4982" w:rsidRDefault="008C4982" w:rsidP="008C4982">
      <w:pPr>
        <w:widowControl w:val="0"/>
        <w:spacing w:after="0" w:line="240" w:lineRule="auto"/>
        <w:rPr>
          <w:rFonts w:ascii="Arial" w:eastAsia="Tw Cen MT" w:hAnsi="Tw Cen MT" w:cs="Tw Cen MT"/>
          <w:sz w:val="20"/>
          <w:szCs w:val="18"/>
        </w:rPr>
      </w:pPr>
    </w:p>
    <w:p w:rsidR="008C4982" w:rsidRPr="008C4982" w:rsidRDefault="008C4982" w:rsidP="008C4982">
      <w:pPr>
        <w:widowControl w:val="0"/>
        <w:spacing w:before="7" w:after="0" w:line="240" w:lineRule="auto"/>
        <w:rPr>
          <w:rFonts w:ascii="Arial" w:eastAsia="Tw Cen MT" w:hAnsi="Tw Cen MT" w:cs="Tw Cen MT"/>
          <w:sz w:val="29"/>
          <w:szCs w:val="18"/>
        </w:rPr>
      </w:pPr>
    </w:p>
    <w:p w:rsidR="008C4982" w:rsidRPr="008C4982" w:rsidRDefault="008C4982" w:rsidP="008C4982">
      <w:pPr>
        <w:widowControl w:val="0"/>
        <w:spacing w:before="39" w:after="0" w:line="240" w:lineRule="auto"/>
        <w:ind w:left="100"/>
        <w:rPr>
          <w:rFonts w:ascii="Minion Pro" w:eastAsia="Tw Cen MT" w:hAnsi="Tw Cen MT" w:cs="Tw Cen MT"/>
          <w:b/>
          <w:sz w:val="20"/>
        </w:rPr>
      </w:pPr>
      <w:r w:rsidRPr="008C4982">
        <w:rPr>
          <w:rFonts w:ascii="Minion Pro" w:eastAsia="Tw Cen MT" w:hAnsi="Tw Cen MT" w:cs="Tw Cen MT"/>
          <w:b/>
          <w:sz w:val="20"/>
        </w:rPr>
        <w:t>Notes/Comments:</w:t>
      </w:r>
    </w:p>
    <w:p w:rsidR="008C4982" w:rsidRPr="008C4982" w:rsidRDefault="008C4982" w:rsidP="008C4982">
      <w:pPr>
        <w:spacing w:after="0" w:line="240" w:lineRule="auto"/>
        <w:rPr>
          <w:rFonts w:ascii="Minion Pro" w:eastAsia="Tw Cen MT" w:hAnsi="Tw Cen MT" w:cs="Tw Cen MT"/>
          <w:sz w:val="24"/>
        </w:rPr>
        <w:sectPr w:rsidR="008C4982" w:rsidRPr="008C4982">
          <w:type w:val="continuous"/>
          <w:pgSz w:w="11910" w:h="16840"/>
          <w:pgMar w:top="1740" w:right="600" w:bottom="840" w:left="620" w:header="720" w:footer="720" w:gutter="0"/>
          <w:cols w:space="720"/>
        </w:sectPr>
      </w:pPr>
    </w:p>
    <w:p w:rsidR="008C4982" w:rsidRPr="008C4982" w:rsidRDefault="008C4982" w:rsidP="008C4982">
      <w:pPr>
        <w:widowControl w:val="0"/>
        <w:spacing w:before="3" w:after="0" w:line="240" w:lineRule="auto"/>
        <w:rPr>
          <w:rFonts w:ascii="Minion Pro" w:eastAsia="Tw Cen MT" w:hAnsi="Tw Cen MT" w:cs="Tw Cen MT"/>
          <w:sz w:val="26"/>
          <w:szCs w:val="18"/>
        </w:rPr>
      </w:pPr>
    </w:p>
    <w:p w:rsidR="008C4982" w:rsidRPr="008C4982" w:rsidRDefault="008C4982" w:rsidP="008C4982">
      <w:pPr>
        <w:widowControl w:val="0"/>
        <w:spacing w:after="0" w:line="240" w:lineRule="auto"/>
        <w:rPr>
          <w:rFonts w:ascii="Tw Cen MT" w:eastAsia="Tw Cen MT" w:hAnsi="Tw Cen MT" w:cs="Tw Cen MT"/>
        </w:rPr>
      </w:pPr>
    </w:p>
    <w:p w:rsidR="00BF4EFD" w:rsidRDefault="00BF4EFD"/>
    <w:sectPr w:rsidR="00BF4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2040503050201020203"/>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982"/>
    <w:rsid w:val="002E3E0C"/>
    <w:rsid w:val="003A4132"/>
    <w:rsid w:val="008A1CBC"/>
    <w:rsid w:val="008C4982"/>
    <w:rsid w:val="00BF4EF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CB545"/>
  <w15:chartTrackingRefBased/>
  <w15:docId w15:val="{FA02F23D-D492-4588-8892-862A046E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XXXXXXX@xxx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2017-04-26T11:03:00Z</dcterms:created>
  <dcterms:modified xsi:type="dcterms:W3CDTF">2017-04-30T15:01:00Z</dcterms:modified>
</cp:coreProperties>
</file>