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AA4" w:rsidRPr="00F61AA4" w:rsidRDefault="00F61AA4" w:rsidP="00F61AA4">
      <w:pPr>
        <w:shd w:val="clear" w:color="auto" w:fill="FFFFFF"/>
        <w:spacing w:before="150" w:after="75" w:line="240" w:lineRule="auto"/>
        <w:outlineLvl w:val="0"/>
        <w:rPr>
          <w:rFonts w:ascii="Arial" w:eastAsia="Times New Roman" w:hAnsi="Arial" w:cs="Arial"/>
          <w:color w:val="0099CC"/>
          <w:kern w:val="36"/>
          <w:sz w:val="26"/>
          <w:szCs w:val="26"/>
        </w:rPr>
      </w:pPr>
      <w:r w:rsidRPr="00F61AA4">
        <w:rPr>
          <w:rFonts w:ascii="Arial" w:eastAsia="Times New Roman" w:hAnsi="Arial" w:cs="Arial"/>
          <w:color w:val="0099CC"/>
          <w:kern w:val="36"/>
          <w:sz w:val="26"/>
          <w:szCs w:val="26"/>
        </w:rPr>
        <w:t>Agrochemicals Market-Mergers &amp; Acquisitions - Global Trends and Outlook</w:t>
      </w:r>
      <w:r>
        <w:rPr>
          <w:rFonts w:ascii="Arial" w:eastAsia="Times New Roman" w:hAnsi="Arial" w:cs="Arial"/>
          <w:color w:val="0099CC"/>
          <w:kern w:val="36"/>
          <w:sz w:val="26"/>
          <w:szCs w:val="26"/>
        </w:rPr>
        <w:t xml:space="preserve"> </w:t>
      </w:r>
      <w:r w:rsidRPr="00F61AA4">
        <w:rPr>
          <w:rFonts w:ascii="Arial" w:eastAsia="Times New Roman" w:hAnsi="Arial" w:cs="Arial"/>
          <w:color w:val="0099CC"/>
          <w:kern w:val="36"/>
          <w:sz w:val="26"/>
          <w:szCs w:val="26"/>
        </w:rPr>
        <w:t>by Deal Type (Acquisitions, Agreements, Divestitures, Mergers &amp; Others), by Segment (Crop-Protection Chemicals, Herbicides, Fungicides, Insecticides &amp; Others), and by Region</w:t>
      </w:r>
    </w:p>
    <w:p w:rsidR="00583EC1" w:rsidRDefault="00583EC1"/>
    <w:p w:rsidR="00F61AA4" w:rsidRDefault="00F61AA4" w:rsidP="00F61AA4">
      <w:pPr>
        <w:pStyle w:val="NormalWeb"/>
        <w:shd w:val="clear" w:color="auto" w:fill="FFFFFF"/>
        <w:rPr>
          <w:rFonts w:ascii="Arial" w:hAnsi="Arial" w:cs="Arial"/>
          <w:color w:val="000000"/>
          <w:sz w:val="18"/>
          <w:szCs w:val="18"/>
        </w:rPr>
      </w:pPr>
      <w:r>
        <w:rPr>
          <w:rFonts w:ascii="Arial" w:hAnsi="Arial" w:cs="Arial"/>
          <w:color w:val="000000"/>
          <w:sz w:val="18"/>
          <w:szCs w:val="18"/>
        </w:rPr>
        <w:t>The global agrochemicals market in the year 2013 stood at USD 41.12 Billion, marking a massive 43% growth compared to USD 28.78 Billion in 2007. Increased participation of private players and their rigorous effort to improve products and expand worldwide have supported growth in the agrochemicals market, enormously. The private sector has emerged as a key player in driving new developments in agriculture, globally. Greater focus on R&amp;D, improved support of intellectual property rights (IPR), the extension of agricultural input companies’ footprint worldwide, and supporting government regulations have resulted in improved participation of private companies in agricultural research investments.</w:t>
      </w:r>
    </w:p>
    <w:p w:rsidR="00F61AA4" w:rsidRDefault="00F61AA4" w:rsidP="00F61AA4">
      <w:pPr>
        <w:pStyle w:val="NormalWeb"/>
        <w:shd w:val="clear" w:color="auto" w:fill="FFFFFF"/>
        <w:rPr>
          <w:rFonts w:ascii="Arial" w:hAnsi="Arial" w:cs="Arial"/>
          <w:color w:val="000000"/>
          <w:sz w:val="18"/>
          <w:szCs w:val="18"/>
        </w:rPr>
      </w:pPr>
      <w:hyperlink r:id="rId6" w:history="1">
        <w:r w:rsidRPr="00F61AA4">
          <w:rPr>
            <w:rStyle w:val="Hyperlink"/>
            <w:rFonts w:ascii="Arial" w:hAnsi="Arial" w:cs="Arial"/>
            <w:sz w:val="18"/>
            <w:szCs w:val="18"/>
          </w:rPr>
          <w:t>Free Download PDF Brochure</w:t>
        </w:r>
      </w:hyperlink>
    </w:p>
    <w:p w:rsidR="00F61AA4" w:rsidRDefault="00F61AA4" w:rsidP="00F61AA4">
      <w:pPr>
        <w:pStyle w:val="NormalWeb"/>
        <w:shd w:val="clear" w:color="auto" w:fill="FFFFFF"/>
        <w:rPr>
          <w:rFonts w:ascii="Arial" w:hAnsi="Arial" w:cs="Arial"/>
          <w:color w:val="000000"/>
          <w:sz w:val="18"/>
          <w:szCs w:val="18"/>
        </w:rPr>
      </w:pPr>
      <w:r>
        <w:rPr>
          <w:rFonts w:ascii="Arial" w:hAnsi="Arial" w:cs="Arial"/>
          <w:color w:val="000000"/>
          <w:sz w:val="18"/>
          <w:szCs w:val="18"/>
        </w:rPr>
        <w:t>This report includes estimations of deal sizes for value (USD million) and deal number. Top-down and bottom-up approaches have been used to analyze and validate the deal size of the agrochemicals market and identify the attractive segments for investments in the overall agrochemicals market. Key players in the market have been identified through secondary research, and their deal share in respective regions has been determined through primary and secondary research. All percentage shares, splits, and breakdowns have been determined using secondary sources and were verified through primary sources. The figure below shows the breakdown of profiles of industry experts who participated in the primary discussions.</w:t>
      </w:r>
    </w:p>
    <w:p w:rsidR="00F61AA4" w:rsidRDefault="00F61AA4" w:rsidP="00F61AA4">
      <w:pPr>
        <w:pStyle w:val="NormalWeb"/>
        <w:shd w:val="clear" w:color="auto" w:fill="FFFFFF"/>
        <w:rPr>
          <w:rFonts w:ascii="Arial" w:hAnsi="Arial" w:cs="Arial"/>
          <w:color w:val="000000"/>
          <w:sz w:val="18"/>
          <w:szCs w:val="18"/>
        </w:rPr>
      </w:pPr>
      <w:hyperlink r:id="rId7" w:history="1">
        <w:r w:rsidRPr="00F61AA4">
          <w:rPr>
            <w:rStyle w:val="Hyperlink"/>
            <w:rFonts w:ascii="Arial" w:hAnsi="Arial" w:cs="Arial"/>
            <w:sz w:val="18"/>
            <w:szCs w:val="18"/>
          </w:rPr>
          <w:t>Request Free Sample Pages</w:t>
        </w:r>
      </w:hyperlink>
      <w:bookmarkStart w:id="0" w:name="_GoBack"/>
      <w:bookmarkEnd w:id="0"/>
    </w:p>
    <w:p w:rsidR="00F61AA4" w:rsidRDefault="00F61AA4">
      <w:pPr>
        <w:rPr>
          <w:rFonts w:ascii="Arial" w:hAnsi="Arial" w:cs="Arial"/>
          <w:color w:val="000000"/>
          <w:sz w:val="18"/>
          <w:szCs w:val="18"/>
          <w:shd w:val="clear" w:color="auto" w:fill="FFFFFF"/>
        </w:rPr>
      </w:pPr>
      <w:r>
        <w:rPr>
          <w:rFonts w:ascii="Arial" w:hAnsi="Arial" w:cs="Arial"/>
          <w:color w:val="000000"/>
          <w:sz w:val="18"/>
          <w:szCs w:val="18"/>
          <w:shd w:val="clear" w:color="auto" w:fill="FFFFFF"/>
        </w:rPr>
        <w:t xml:space="preserve">The crop-protection and non-crop protection chemical manufacturers offer products to meet the needs of the consumers, depending on the specific crop requirements. The major key players that are profiled in the report include Syngenta A G (Switzerland), Bayer </w:t>
      </w:r>
      <w:proofErr w:type="spellStart"/>
      <w:r>
        <w:rPr>
          <w:rFonts w:ascii="Arial" w:hAnsi="Arial" w:cs="Arial"/>
          <w:color w:val="000000"/>
          <w:sz w:val="18"/>
          <w:szCs w:val="18"/>
          <w:shd w:val="clear" w:color="auto" w:fill="FFFFFF"/>
        </w:rPr>
        <w:t>CropScience</w:t>
      </w:r>
      <w:proofErr w:type="spellEnd"/>
      <w:r>
        <w:rPr>
          <w:rFonts w:ascii="Arial" w:hAnsi="Arial" w:cs="Arial"/>
          <w:color w:val="000000"/>
          <w:sz w:val="18"/>
          <w:szCs w:val="18"/>
          <w:shd w:val="clear" w:color="auto" w:fill="FFFFFF"/>
        </w:rPr>
        <w:t xml:space="preserve"> (Germany), BASF (Germany), Dow Chemicals (U.S.), Monsanto (U.S.), and DuPont (U.S). Other players include United Phosphorus Limited (UPL) (India), China National Chemical Corp (China), ADAMA Agricultural Solutions (Israel), </w:t>
      </w:r>
      <w:proofErr w:type="spellStart"/>
      <w:r>
        <w:rPr>
          <w:rFonts w:ascii="Arial" w:hAnsi="Arial" w:cs="Arial"/>
          <w:color w:val="000000"/>
          <w:sz w:val="18"/>
          <w:szCs w:val="18"/>
          <w:shd w:val="clear" w:color="auto" w:fill="FFFFFF"/>
        </w:rPr>
        <w:t>Nufarm</w:t>
      </w:r>
      <w:proofErr w:type="spellEnd"/>
      <w:r>
        <w:rPr>
          <w:rFonts w:ascii="Arial" w:hAnsi="Arial" w:cs="Arial"/>
          <w:color w:val="000000"/>
          <w:sz w:val="18"/>
          <w:szCs w:val="18"/>
          <w:shd w:val="clear" w:color="auto" w:fill="FFFFFF"/>
        </w:rPr>
        <w:t xml:space="preserve"> Limited (Australia), and Sumitomo Chemical (Japan).</w:t>
      </w:r>
    </w:p>
    <w:p w:rsidR="00F61AA4" w:rsidRPr="00F61AA4" w:rsidRDefault="00F61AA4" w:rsidP="00F61AA4">
      <w:p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b/>
          <w:bCs/>
          <w:color w:val="000000"/>
          <w:sz w:val="18"/>
          <w:szCs w:val="18"/>
        </w:rPr>
        <w:t>This report is targeted at</w:t>
      </w:r>
    </w:p>
    <w:p w:rsidR="00F61AA4" w:rsidRPr="00F61AA4" w:rsidRDefault="00F61AA4" w:rsidP="00F61AA4">
      <w:pPr>
        <w:numPr>
          <w:ilvl w:val="0"/>
          <w:numId w:val="1"/>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Existing players in the industry, which include crop-protection and non-crop protection chemical manufacturers</w:t>
      </w:r>
    </w:p>
    <w:p w:rsidR="00F61AA4" w:rsidRPr="00F61AA4" w:rsidRDefault="00F61AA4" w:rsidP="00F61AA4">
      <w:pPr>
        <w:numPr>
          <w:ilvl w:val="0"/>
          <w:numId w:val="1"/>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Distributors of crop-protection and non-crop protection chemicals</w:t>
      </w:r>
    </w:p>
    <w:p w:rsidR="00F61AA4" w:rsidRPr="00F61AA4" w:rsidRDefault="00F61AA4" w:rsidP="00F61AA4">
      <w:pPr>
        <w:numPr>
          <w:ilvl w:val="0"/>
          <w:numId w:val="1"/>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Pesticides manufacturers &amp; formulators association and research institutions</w:t>
      </w:r>
    </w:p>
    <w:p w:rsidR="00F61AA4" w:rsidRPr="00F61AA4" w:rsidRDefault="00F61AA4" w:rsidP="00F61AA4">
      <w:pPr>
        <w:numPr>
          <w:ilvl w:val="0"/>
          <w:numId w:val="1"/>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Key participants in the supply chain of agrochemicals such as raw material suppliers, government bodies, distributors, and end users such as industries, consumers, and researchers.</w:t>
      </w:r>
    </w:p>
    <w:p w:rsidR="00F61AA4" w:rsidRPr="00F61AA4" w:rsidRDefault="00F61AA4" w:rsidP="00F61AA4">
      <w:p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This report provides both qualitative and quantitative analyses of the mergers &amp; acquisitions in the agrochemicals market, and the preferred development strategies of key players. The key players preferred acquisitions, agreements, divestitures, and joint ventures as strategies to gain a larger share in the market. The report also analyzes the market dynamics and market share of leading players.</w:t>
      </w:r>
    </w:p>
    <w:p w:rsidR="00F61AA4" w:rsidRPr="00F61AA4" w:rsidRDefault="00F61AA4" w:rsidP="00F61AA4">
      <w:p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“The study answers several questions for stakeholders, primarily which market segments to focus on in the next two to five years for prioritizing efforts and investments.”</w:t>
      </w:r>
    </w:p>
    <w:p w:rsidR="00F61AA4" w:rsidRPr="00F61AA4" w:rsidRDefault="00F61AA4" w:rsidP="00F61AA4">
      <w:p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b/>
          <w:bCs/>
          <w:color w:val="000000"/>
          <w:sz w:val="18"/>
          <w:szCs w:val="18"/>
        </w:rPr>
        <w:t>Scope of the Report</w:t>
      </w:r>
    </w:p>
    <w:p w:rsidR="00F61AA4" w:rsidRPr="00F61AA4" w:rsidRDefault="00F61AA4" w:rsidP="00F61AA4">
      <w:p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b/>
          <w:bCs/>
          <w:color w:val="000000"/>
          <w:sz w:val="18"/>
          <w:szCs w:val="18"/>
        </w:rPr>
        <w:t>On the basis of Segment, the mergers &amp; acquisitions in the agrochemicals market is segmented as follows</w:t>
      </w:r>
    </w:p>
    <w:p w:rsidR="00F61AA4" w:rsidRPr="00F61AA4" w:rsidRDefault="00F61AA4" w:rsidP="00F61AA4">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lastRenderedPageBreak/>
        <w:t>Crop protection chemicals</w:t>
      </w:r>
    </w:p>
    <w:p w:rsidR="00F61AA4" w:rsidRPr="00F61AA4" w:rsidRDefault="00F61AA4" w:rsidP="00F61AA4">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Herbicides</w:t>
      </w:r>
    </w:p>
    <w:p w:rsidR="00F61AA4" w:rsidRPr="00F61AA4" w:rsidRDefault="00F61AA4" w:rsidP="00F61AA4">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Biological products </w:t>
      </w:r>
    </w:p>
    <w:p w:rsidR="00F61AA4" w:rsidRPr="00F61AA4" w:rsidRDefault="00F61AA4" w:rsidP="00F61AA4">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Agricultural technology</w:t>
      </w:r>
    </w:p>
    <w:p w:rsidR="00F61AA4" w:rsidRPr="00F61AA4" w:rsidRDefault="00F61AA4" w:rsidP="00F61AA4">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Insecticides</w:t>
      </w:r>
    </w:p>
    <w:p w:rsidR="00F61AA4" w:rsidRPr="00F61AA4" w:rsidRDefault="00F61AA4" w:rsidP="00F61AA4">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R&amp;D</w:t>
      </w:r>
    </w:p>
    <w:p w:rsidR="00F61AA4" w:rsidRPr="00F61AA4" w:rsidRDefault="00F61AA4" w:rsidP="00F61AA4">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Fungicides</w:t>
      </w:r>
    </w:p>
    <w:p w:rsidR="00F61AA4" w:rsidRPr="00F61AA4" w:rsidRDefault="00F61AA4" w:rsidP="00F61AA4">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Distribution</w:t>
      </w:r>
    </w:p>
    <w:p w:rsidR="00F61AA4" w:rsidRPr="00F61AA4" w:rsidRDefault="00F61AA4" w:rsidP="00F61AA4">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Crop protection technology</w:t>
      </w:r>
    </w:p>
    <w:p w:rsidR="00F61AA4" w:rsidRPr="00F61AA4" w:rsidRDefault="00F61AA4" w:rsidP="00F61AA4">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Distribution of crop protection products</w:t>
      </w:r>
    </w:p>
    <w:p w:rsidR="00F61AA4" w:rsidRPr="00F61AA4" w:rsidRDefault="00F61AA4" w:rsidP="00F61AA4">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Agrochemicals and seeds</w:t>
      </w:r>
    </w:p>
    <w:p w:rsidR="00F61AA4" w:rsidRPr="00F61AA4" w:rsidRDefault="00F61AA4" w:rsidP="00F61AA4">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Crop protection application technology</w:t>
      </w:r>
    </w:p>
    <w:p w:rsidR="00F61AA4" w:rsidRPr="00F61AA4" w:rsidRDefault="00F61AA4" w:rsidP="00F61AA4">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Crop protection chemicals and non-crop protection chemicals</w:t>
      </w:r>
    </w:p>
    <w:p w:rsidR="00F61AA4" w:rsidRPr="00F61AA4" w:rsidRDefault="00F61AA4" w:rsidP="00F61AA4">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Crop protection solutions</w:t>
      </w:r>
    </w:p>
    <w:p w:rsidR="00F61AA4" w:rsidRPr="00F61AA4" w:rsidRDefault="00F61AA4" w:rsidP="00F61AA4">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Agricultural products</w:t>
      </w:r>
    </w:p>
    <w:p w:rsidR="00F61AA4" w:rsidRPr="00F61AA4" w:rsidRDefault="00F61AA4" w:rsidP="00F61AA4">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Others (combination of agrochemical products, crop protection formulations &amp; patents, farming operations, and other agrochemical products &amp; services)</w:t>
      </w:r>
    </w:p>
    <w:p w:rsidR="00F61AA4" w:rsidRPr="00F61AA4" w:rsidRDefault="00F61AA4" w:rsidP="00F61AA4">
      <w:p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b/>
          <w:bCs/>
          <w:color w:val="000000"/>
          <w:sz w:val="18"/>
          <w:szCs w:val="18"/>
        </w:rPr>
        <w:t>On the basis of Deal Type, the mergers &amp; acquisitions in the agrochemicals market is segmented as follows:</w:t>
      </w:r>
    </w:p>
    <w:p w:rsidR="00F61AA4" w:rsidRPr="00F61AA4" w:rsidRDefault="00F61AA4" w:rsidP="00F61AA4">
      <w:pPr>
        <w:numPr>
          <w:ilvl w:val="0"/>
          <w:numId w:val="3"/>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Acquisitions</w:t>
      </w:r>
    </w:p>
    <w:p w:rsidR="00F61AA4" w:rsidRPr="00F61AA4" w:rsidRDefault="00F61AA4" w:rsidP="00F61AA4">
      <w:pPr>
        <w:numPr>
          <w:ilvl w:val="0"/>
          <w:numId w:val="3"/>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Agreements</w:t>
      </w:r>
    </w:p>
    <w:p w:rsidR="00F61AA4" w:rsidRPr="00F61AA4" w:rsidRDefault="00F61AA4" w:rsidP="00F61AA4">
      <w:pPr>
        <w:numPr>
          <w:ilvl w:val="0"/>
          <w:numId w:val="3"/>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Divestitures</w:t>
      </w:r>
    </w:p>
    <w:p w:rsidR="00F61AA4" w:rsidRPr="00F61AA4" w:rsidRDefault="00F61AA4" w:rsidP="00F61AA4">
      <w:pPr>
        <w:numPr>
          <w:ilvl w:val="0"/>
          <w:numId w:val="3"/>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Collaborations</w:t>
      </w:r>
    </w:p>
    <w:p w:rsidR="00F61AA4" w:rsidRPr="00F61AA4" w:rsidRDefault="00F61AA4" w:rsidP="00F61AA4">
      <w:pPr>
        <w:numPr>
          <w:ilvl w:val="0"/>
          <w:numId w:val="3"/>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Partnership s</w:t>
      </w:r>
    </w:p>
    <w:p w:rsidR="00F61AA4" w:rsidRPr="00F61AA4" w:rsidRDefault="00F61AA4" w:rsidP="00F61AA4">
      <w:pPr>
        <w:numPr>
          <w:ilvl w:val="0"/>
          <w:numId w:val="3"/>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Alliances</w:t>
      </w:r>
    </w:p>
    <w:p w:rsidR="00F61AA4" w:rsidRPr="00F61AA4" w:rsidRDefault="00F61AA4" w:rsidP="00F61AA4">
      <w:pPr>
        <w:numPr>
          <w:ilvl w:val="0"/>
          <w:numId w:val="3"/>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Joint Ventures</w:t>
      </w:r>
    </w:p>
    <w:p w:rsidR="00F61AA4" w:rsidRPr="00F61AA4" w:rsidRDefault="00F61AA4" w:rsidP="00F61AA4">
      <w:pPr>
        <w:numPr>
          <w:ilvl w:val="0"/>
          <w:numId w:val="3"/>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Mergers</w:t>
      </w:r>
    </w:p>
    <w:p w:rsidR="00F61AA4" w:rsidRPr="00F61AA4" w:rsidRDefault="00F61AA4" w:rsidP="00F61AA4">
      <w:p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b/>
          <w:bCs/>
          <w:color w:val="000000"/>
          <w:sz w:val="18"/>
          <w:szCs w:val="18"/>
        </w:rPr>
        <w:t>On the basis of Region, the mergers &amp; acquisitions in the agrochemicals market is segmented as follows:</w:t>
      </w:r>
    </w:p>
    <w:p w:rsidR="00F61AA4" w:rsidRPr="00F61AA4" w:rsidRDefault="00F61AA4" w:rsidP="00F61AA4">
      <w:pPr>
        <w:numPr>
          <w:ilvl w:val="0"/>
          <w:numId w:val="4"/>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North America</w:t>
      </w:r>
    </w:p>
    <w:p w:rsidR="00F61AA4" w:rsidRPr="00F61AA4" w:rsidRDefault="00F61AA4" w:rsidP="00F61AA4">
      <w:pPr>
        <w:numPr>
          <w:ilvl w:val="0"/>
          <w:numId w:val="4"/>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Europe</w:t>
      </w:r>
    </w:p>
    <w:p w:rsidR="00F61AA4" w:rsidRPr="00F61AA4" w:rsidRDefault="00F61AA4" w:rsidP="00F61AA4">
      <w:pPr>
        <w:numPr>
          <w:ilvl w:val="0"/>
          <w:numId w:val="4"/>
        </w:numPr>
        <w:shd w:val="clear" w:color="auto" w:fill="FFFFFF"/>
        <w:spacing w:before="100" w:beforeAutospacing="1" w:after="100" w:afterAutospacing="1" w:line="240" w:lineRule="auto"/>
        <w:rPr>
          <w:rFonts w:ascii="Arial" w:eastAsia="Times New Roman" w:hAnsi="Arial" w:cs="Arial"/>
          <w:color w:val="000000"/>
          <w:sz w:val="18"/>
          <w:szCs w:val="18"/>
        </w:rPr>
      </w:pPr>
      <w:r w:rsidRPr="00F61AA4">
        <w:rPr>
          <w:rFonts w:ascii="Arial" w:eastAsia="Times New Roman" w:hAnsi="Arial" w:cs="Arial"/>
          <w:color w:val="000000"/>
          <w:sz w:val="18"/>
          <w:szCs w:val="18"/>
        </w:rPr>
        <w:t>Asia-Pacific</w:t>
      </w:r>
    </w:p>
    <w:p w:rsidR="00F61AA4" w:rsidRPr="00F61AA4" w:rsidRDefault="00F61AA4" w:rsidP="00F61AA4">
      <w:pPr>
        <w:numPr>
          <w:ilvl w:val="0"/>
          <w:numId w:val="4"/>
        </w:numPr>
        <w:shd w:val="clear" w:color="auto" w:fill="FFFFFF"/>
        <w:spacing w:before="100" w:beforeAutospacing="1" w:after="100" w:afterAutospacing="1" w:line="240" w:lineRule="auto"/>
        <w:rPr>
          <w:rFonts w:ascii="Arial" w:eastAsia="Times New Roman" w:hAnsi="Arial" w:cs="Arial"/>
          <w:color w:val="000000"/>
          <w:sz w:val="18"/>
          <w:szCs w:val="18"/>
        </w:rPr>
      </w:pPr>
      <w:proofErr w:type="spellStart"/>
      <w:r w:rsidRPr="00F61AA4">
        <w:rPr>
          <w:rFonts w:ascii="Arial" w:eastAsia="Times New Roman" w:hAnsi="Arial" w:cs="Arial"/>
          <w:color w:val="000000"/>
          <w:sz w:val="18"/>
          <w:szCs w:val="18"/>
        </w:rPr>
        <w:t>RoW</w:t>
      </w:r>
      <w:proofErr w:type="spellEnd"/>
    </w:p>
    <w:p w:rsidR="00F61AA4" w:rsidRDefault="00F61AA4">
      <w:hyperlink r:id="rId8" w:history="1">
        <w:r w:rsidRPr="00F61AA4">
          <w:rPr>
            <w:rStyle w:val="Hyperlink"/>
          </w:rPr>
          <w:t>Read report description</w:t>
        </w:r>
      </w:hyperlink>
    </w:p>
    <w:sectPr w:rsidR="00F61A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B0E38"/>
    <w:multiLevelType w:val="multilevel"/>
    <w:tmpl w:val="3A9CE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CE6597"/>
    <w:multiLevelType w:val="multilevel"/>
    <w:tmpl w:val="5E02C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1EF4D66"/>
    <w:multiLevelType w:val="multilevel"/>
    <w:tmpl w:val="1C80A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A4B206F"/>
    <w:multiLevelType w:val="multilevel"/>
    <w:tmpl w:val="00F03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AA4"/>
    <w:rsid w:val="00213C01"/>
    <w:rsid w:val="00583EC1"/>
    <w:rsid w:val="007D15AB"/>
    <w:rsid w:val="00F61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61AA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1AA4"/>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F61AA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61AA4"/>
    <w:rPr>
      <w:b/>
      <w:bCs/>
    </w:rPr>
  </w:style>
  <w:style w:type="character" w:styleId="Hyperlink">
    <w:name w:val="Hyperlink"/>
    <w:basedOn w:val="DefaultParagraphFont"/>
    <w:uiPriority w:val="99"/>
    <w:unhideWhenUsed/>
    <w:rsid w:val="00F61AA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61AA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1AA4"/>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F61AA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61AA4"/>
    <w:rPr>
      <w:b/>
      <w:bCs/>
    </w:rPr>
  </w:style>
  <w:style w:type="character" w:styleId="Hyperlink">
    <w:name w:val="Hyperlink"/>
    <w:basedOn w:val="DefaultParagraphFont"/>
    <w:uiPriority w:val="99"/>
    <w:unhideWhenUsed/>
    <w:rsid w:val="00F61AA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3638201">
      <w:bodyDiv w:val="1"/>
      <w:marLeft w:val="0"/>
      <w:marRight w:val="0"/>
      <w:marTop w:val="0"/>
      <w:marBottom w:val="0"/>
      <w:divBdr>
        <w:top w:val="none" w:sz="0" w:space="0" w:color="auto"/>
        <w:left w:val="none" w:sz="0" w:space="0" w:color="auto"/>
        <w:bottom w:val="none" w:sz="0" w:space="0" w:color="auto"/>
        <w:right w:val="none" w:sz="0" w:space="0" w:color="auto"/>
      </w:divBdr>
    </w:div>
    <w:div w:id="1037316990">
      <w:bodyDiv w:val="1"/>
      <w:marLeft w:val="0"/>
      <w:marRight w:val="0"/>
      <w:marTop w:val="0"/>
      <w:marBottom w:val="0"/>
      <w:divBdr>
        <w:top w:val="none" w:sz="0" w:space="0" w:color="auto"/>
        <w:left w:val="none" w:sz="0" w:space="0" w:color="auto"/>
        <w:bottom w:val="none" w:sz="0" w:space="0" w:color="auto"/>
        <w:right w:val="none" w:sz="0" w:space="0" w:color="auto"/>
      </w:divBdr>
    </w:div>
    <w:div w:id="19234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ketsandmarkets.com/Market-Reports/agrochemicals-market-mergers-and-acquisitions-51370455.html" TargetMode="External"/><Relationship Id="rId3" Type="http://schemas.microsoft.com/office/2007/relationships/stylesWithEffects" Target="stylesWithEffects.xml"/><Relationship Id="rId7" Type="http://schemas.openxmlformats.org/officeDocument/2006/relationships/hyperlink" Target="http://www.marketsandmarkets.com/requestsample.asp?id=5137045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rketsandmarkets.com/pdfdownload.asp?id=51370455"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686</Words>
  <Characters>3913</Characters>
  <Application>Microsoft Office Word</Application>
  <DocSecurity>0</DocSecurity>
  <Lines>32</Lines>
  <Paragraphs>9</Paragraphs>
  <ScaleCrop>false</ScaleCrop>
  <Company/>
  <LinksUpToDate>false</LinksUpToDate>
  <CharactersWithSpaces>4590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SonalP</dc:creator>
  <cp:lastModifiedBy>SonalP</cp:lastModifiedBy>
  <cp:revision>1</cp:revision>
  <dcterms:created xsi:type="dcterms:W3CDTF">2016-10-12T11:16:00Z</dcterms:created>
  <dcterms:modified xsi:type="dcterms:W3CDTF">2016-10-12T11:19:00Z</dcterms:modified>
</cp:coreProperties>
</file>