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F2B" w:rsidRDefault="002C0F2B" w:rsidP="00D41CAC">
      <w:pPr>
        <w:jc w:val="both"/>
        <w:rPr>
          <w:sz w:val="22"/>
          <w:szCs w:val="22"/>
          <w:lang w:val="en-GB"/>
        </w:rPr>
      </w:pPr>
      <w:r>
        <w:rPr>
          <w:sz w:val="22"/>
          <w:szCs w:val="22"/>
          <w:lang w:val="en-GB"/>
        </w:rPr>
        <w:t xml:space="preserve">                                                                                                                       </w:t>
      </w:r>
      <w:r w:rsidR="00D41CAC">
        <w:rPr>
          <w:noProof/>
          <w:sz w:val="22"/>
          <w:szCs w:val="22"/>
          <w:lang w:val="en-US" w:eastAsia="en-US"/>
        </w:rPr>
        <w:drawing>
          <wp:inline distT="0" distB="0" distL="0" distR="0">
            <wp:extent cx="1066800" cy="1362075"/>
            <wp:effectExtent l="0" t="0" r="0" b="0"/>
            <wp:docPr id="2" name="Picture 2" descr="G:\ID\IMG_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ID\IMG_001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6800" cy="1362075"/>
                    </a:xfrm>
                    <a:prstGeom prst="rect">
                      <a:avLst/>
                    </a:prstGeom>
                    <a:noFill/>
                    <a:ln>
                      <a:noFill/>
                    </a:ln>
                  </pic:spPr>
                </pic:pic>
              </a:graphicData>
            </a:graphic>
          </wp:inline>
        </w:drawing>
      </w:r>
    </w:p>
    <w:p w:rsidR="00D41CAC" w:rsidRDefault="00D41CAC" w:rsidP="00EC3510">
      <w:pPr>
        <w:rPr>
          <w:rFonts w:eastAsia="MS PGothic"/>
          <w:color w:val="000000"/>
          <w:sz w:val="28"/>
          <w:szCs w:val="28"/>
          <w:lang w:val="en-US"/>
        </w:rPr>
      </w:pPr>
    </w:p>
    <w:p w:rsidR="00EC3510" w:rsidRPr="00EC3510" w:rsidRDefault="00EC3510" w:rsidP="00EC3510">
      <w:pPr>
        <w:rPr>
          <w:rFonts w:eastAsia="MS PGothic"/>
          <w:color w:val="000000"/>
          <w:sz w:val="28"/>
          <w:szCs w:val="28"/>
          <w:lang w:val="en-US"/>
        </w:rPr>
      </w:pPr>
      <w:r w:rsidRPr="00EC3510">
        <w:rPr>
          <w:rFonts w:eastAsia="MS PGothic"/>
          <w:color w:val="000000"/>
          <w:sz w:val="28"/>
          <w:szCs w:val="28"/>
          <w:lang w:val="en-US"/>
        </w:rPr>
        <w:t xml:space="preserve">Comparative study of Cytokinins, Auxins and Gibberellic acid effects on regeneration of different </w:t>
      </w:r>
      <w:r w:rsidRPr="00EC3510">
        <w:rPr>
          <w:rFonts w:eastAsia="MS PGothic"/>
          <w:i/>
          <w:iCs/>
          <w:color w:val="000000"/>
          <w:sz w:val="28"/>
          <w:szCs w:val="28"/>
          <w:lang w:val="en-US"/>
        </w:rPr>
        <w:t>Quercus brantii var persica</w:t>
      </w:r>
      <w:r w:rsidRPr="00EC3510">
        <w:rPr>
          <w:rFonts w:eastAsia="MS PGothic"/>
          <w:color w:val="000000"/>
          <w:sz w:val="28"/>
          <w:szCs w:val="28"/>
          <w:lang w:val="en-US"/>
        </w:rPr>
        <w:t xml:space="preserve"> explant on in-vitro culture</w:t>
      </w:r>
    </w:p>
    <w:p w:rsidR="00AC3BCD" w:rsidRDefault="00AC3BCD" w:rsidP="00EC3510">
      <w:pPr>
        <w:rPr>
          <w:rFonts w:eastAsia="MS PGothic"/>
          <w:b/>
          <w:color w:val="000000"/>
          <w:sz w:val="28"/>
          <w:szCs w:val="28"/>
        </w:rPr>
      </w:pPr>
    </w:p>
    <w:p w:rsidR="00AC3BCD" w:rsidRDefault="00AC3BCD" w:rsidP="00EC3510">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EC3510">
        <w:rPr>
          <w:rFonts w:eastAsia="MS PGothic" w:hAnsi="Arial"/>
          <w:color w:val="000000"/>
        </w:rPr>
        <w:t>Mohammad Khayat Tehranchi</w:t>
      </w:r>
    </w:p>
    <w:p w:rsidR="00AC3BCD" w:rsidRDefault="00AC3BCD" w:rsidP="00EC3510">
      <w:pPr>
        <w:rPr>
          <w:rFonts w:eastAsia="MS PGothic" w:hAnsi="Arial"/>
          <w:color w:val="000000"/>
        </w:rPr>
      </w:pPr>
      <w:r>
        <w:rPr>
          <w:b/>
          <w:sz w:val="28"/>
          <w:szCs w:val="28"/>
        </w:rPr>
        <w:t xml:space="preserve">                     </w:t>
      </w:r>
      <w:r w:rsidR="00EC3510">
        <w:rPr>
          <w:rFonts w:eastAsia="MS PGothic" w:hAnsi="Arial"/>
          <w:color w:val="000000"/>
        </w:rPr>
        <w:t>Payam Noor University,Faculty</w:t>
      </w:r>
      <w:r>
        <w:rPr>
          <w:rFonts w:eastAsia="MS PGothic" w:hAnsi="Arial"/>
          <w:color w:val="000000"/>
        </w:rPr>
        <w:t xml:space="preserve"> of </w:t>
      </w:r>
      <w:r w:rsidR="00EC3510">
        <w:rPr>
          <w:rFonts w:eastAsia="MS PGothic" w:hAnsi="Arial"/>
          <w:color w:val="000000"/>
        </w:rPr>
        <w:t>Agriculture</w:t>
      </w:r>
      <w:r>
        <w:rPr>
          <w:rFonts w:eastAsia="MS PGothic" w:hAnsi="Arial"/>
          <w:color w:val="000000"/>
        </w:rPr>
        <w:t xml:space="preserve">, </w:t>
      </w:r>
      <w:r w:rsidR="00EC3510">
        <w:rPr>
          <w:rFonts w:eastAsia="MS PGothic" w:hAnsi="Arial"/>
          <w:color w:val="000000"/>
        </w:rPr>
        <w:t>Tehran</w:t>
      </w:r>
      <w:r>
        <w:rPr>
          <w:rFonts w:eastAsia="MS PGothic" w:hAnsi="Arial"/>
          <w:color w:val="000000"/>
        </w:rPr>
        <w:t xml:space="preserve">, </w:t>
      </w:r>
      <w:r w:rsidR="00EC3510">
        <w:rPr>
          <w:rFonts w:eastAsia="MS PGothic" w:hAnsi="Arial"/>
          <w:color w:val="000000"/>
        </w:rPr>
        <w:t>Iran</w:t>
      </w:r>
    </w:p>
    <w:p w:rsidR="00AC3BCD" w:rsidRDefault="00AC3BCD" w:rsidP="00AC3BCD">
      <w:pPr>
        <w:jc w:val="center"/>
        <w:rPr>
          <w:rFonts w:eastAsia="Batang"/>
          <w:color w:val="0000FF"/>
          <w:sz w:val="36"/>
          <w:szCs w:val="36"/>
        </w:rPr>
      </w:pPr>
    </w:p>
    <w:p w:rsidR="00AC3BCD" w:rsidRDefault="00EC3510" w:rsidP="00EC3510">
      <w:pPr>
        <w:ind w:firstLine="720"/>
        <w:jc w:val="both"/>
        <w:rPr>
          <w:color w:val="000000"/>
        </w:rPr>
      </w:pPr>
      <w:r w:rsidRPr="00EC3510">
        <w:rPr>
          <w:rFonts w:eastAsia="MS PGothic"/>
          <w:color w:val="000000"/>
          <w:szCs w:val="32"/>
          <w:lang w:val="en-US"/>
        </w:rPr>
        <w:t>New biotechnology techniques, such as tissue culture and micro propagation, are the best way to save valuable plant species</w:t>
      </w:r>
      <w:r w:rsidRPr="00EC3510">
        <w:rPr>
          <w:rFonts w:eastAsia="MS PGothic" w:hint="cs"/>
          <w:color w:val="000000"/>
          <w:szCs w:val="32"/>
          <w:rtl/>
          <w:lang w:bidi="fa-IR"/>
        </w:rPr>
        <w:t xml:space="preserve"> </w:t>
      </w:r>
      <w:r w:rsidRPr="00EC3510">
        <w:rPr>
          <w:rFonts w:eastAsia="MS PGothic"/>
          <w:color w:val="000000"/>
          <w:szCs w:val="32"/>
          <w:lang w:val="en-US"/>
        </w:rPr>
        <w:t>which is in danger of extinction. Non-sexual reproduction</w:t>
      </w:r>
      <w:r w:rsidRPr="00EC3510">
        <w:rPr>
          <w:rFonts w:eastAsia="MS PGothic" w:hint="cs"/>
          <w:color w:val="000000"/>
          <w:szCs w:val="32"/>
          <w:rtl/>
          <w:lang w:bidi="fa-IR"/>
        </w:rPr>
        <w:t xml:space="preserve"> </w:t>
      </w:r>
      <w:r w:rsidRPr="00EC3510">
        <w:rPr>
          <w:rFonts w:eastAsia="MS PGothic"/>
          <w:color w:val="000000"/>
          <w:szCs w:val="32"/>
          <w:lang w:val="en-US"/>
        </w:rPr>
        <w:t>and specifically tissue culture techniques</w:t>
      </w:r>
      <w:r w:rsidRPr="00EC3510">
        <w:rPr>
          <w:rFonts w:eastAsia="MS PGothic" w:hint="cs"/>
          <w:color w:val="000000"/>
          <w:szCs w:val="32"/>
          <w:rtl/>
          <w:lang w:bidi="fa-IR"/>
        </w:rPr>
        <w:t xml:space="preserve"> </w:t>
      </w:r>
      <w:r w:rsidRPr="00EC3510">
        <w:rPr>
          <w:rFonts w:eastAsia="MS PGothic"/>
          <w:color w:val="000000"/>
          <w:szCs w:val="32"/>
          <w:lang w:val="en-US"/>
        </w:rPr>
        <w:t xml:space="preserve">is the only way to save Zagros Range oak forests. In order to micro propagation of Persian oak, seeds for the purpose of </w:t>
      </w:r>
      <w:r w:rsidRPr="00EC3510">
        <w:rPr>
          <w:rFonts w:eastAsia="MS PGothic" w:hint="cs"/>
          <w:color w:val="000000"/>
          <w:szCs w:val="32"/>
          <w:lang w:val="en-US"/>
        </w:rPr>
        <w:t>Isolation</w:t>
      </w:r>
      <w:r w:rsidRPr="00EC3510">
        <w:rPr>
          <w:rFonts w:eastAsia="MS PGothic"/>
          <w:color w:val="000000"/>
          <w:szCs w:val="32"/>
          <w:lang w:val="en-US"/>
        </w:rPr>
        <w:t xml:space="preserve"> of the embryo</w:t>
      </w:r>
      <w:r w:rsidRPr="00EC3510">
        <w:rPr>
          <w:rFonts w:eastAsia="MS PGothic" w:hint="cs"/>
          <w:color w:val="000000"/>
          <w:szCs w:val="32"/>
          <w:rtl/>
          <w:lang w:bidi="fa-IR"/>
        </w:rPr>
        <w:t xml:space="preserve"> </w:t>
      </w:r>
      <w:r w:rsidRPr="00EC3510">
        <w:rPr>
          <w:rFonts w:eastAsia="MS PGothic"/>
          <w:color w:val="000000"/>
          <w:szCs w:val="32"/>
          <w:lang w:val="en-US"/>
        </w:rPr>
        <w:t>and spring branches</w:t>
      </w:r>
      <w:r w:rsidRPr="00EC3510">
        <w:rPr>
          <w:rFonts w:eastAsia="MS PGothic" w:hint="cs"/>
          <w:color w:val="000000"/>
          <w:szCs w:val="32"/>
          <w:rtl/>
          <w:lang w:bidi="fa-IR"/>
        </w:rPr>
        <w:t xml:space="preserve"> </w:t>
      </w:r>
      <w:r w:rsidRPr="00EC3510">
        <w:rPr>
          <w:rFonts w:eastAsia="MS PGothic"/>
          <w:color w:val="000000"/>
          <w:szCs w:val="32"/>
          <w:lang w:val="en-US"/>
        </w:rPr>
        <w:t>for separating meristems, transfer to laboratory. After disinfection, Meristems and embryos of Persian oak in order to regeneration, moved to WPM medium that treated with different density of BAP (0,1,0.5,2,5 mg/l), IAA (0,0.5 mg/l), NAA (0, 0.1 mg/l), TDZ (1, 2 mg/l) and GA3 (0, 0.5, 1 mg/l)</w:t>
      </w:r>
      <w:r w:rsidRPr="00EC3510">
        <w:rPr>
          <w:rFonts w:eastAsia="MS PGothic" w:hint="cs"/>
          <w:color w:val="000000"/>
          <w:szCs w:val="32"/>
          <w:rtl/>
          <w:lang w:bidi="fa-IR"/>
        </w:rPr>
        <w:t xml:space="preserve"> </w:t>
      </w:r>
      <w:r w:rsidRPr="00EC3510">
        <w:rPr>
          <w:rFonts w:eastAsia="MS PGothic"/>
          <w:color w:val="000000"/>
          <w:szCs w:val="32"/>
          <w:lang w:val="en-US"/>
        </w:rPr>
        <w:t>Which were used alone or in combination. The cultured explant was transferred to the growth room for 30 days. According to the results, GA3 had no effect on regeneration of Persian oak in any concentration. Auxins grows regulators include NAA had no significant effect on regeneration compared to control samples</w:t>
      </w:r>
      <w:r w:rsidRPr="00EC3510">
        <w:rPr>
          <w:rFonts w:eastAsia="MS PGothic" w:hint="cs"/>
          <w:color w:val="000000"/>
          <w:szCs w:val="32"/>
          <w:rtl/>
          <w:lang w:bidi="fa-IR"/>
        </w:rPr>
        <w:t>.</w:t>
      </w:r>
      <w:r w:rsidRPr="00EC3510">
        <w:rPr>
          <w:rFonts w:eastAsia="MS PGothic"/>
          <w:color w:val="000000"/>
          <w:szCs w:val="32"/>
          <w:lang w:val="en-US"/>
        </w:rPr>
        <w:t xml:space="preserve"> The combination of IAA (0.5 mg/l) and BAP (1 mg/l)</w:t>
      </w:r>
      <w:r w:rsidRPr="00EC3510">
        <w:rPr>
          <w:rFonts w:eastAsia="MS PGothic" w:hint="cs"/>
          <w:color w:val="000000"/>
          <w:szCs w:val="32"/>
          <w:rtl/>
          <w:lang w:bidi="fa-IR"/>
        </w:rPr>
        <w:t xml:space="preserve"> </w:t>
      </w:r>
      <w:r w:rsidRPr="00EC3510">
        <w:rPr>
          <w:rFonts w:eastAsia="MS PGothic"/>
          <w:color w:val="000000"/>
          <w:szCs w:val="32"/>
          <w:lang w:val="en-US"/>
        </w:rPr>
        <w:t>Caused the death of</w:t>
      </w:r>
      <w:r w:rsidRPr="00EC3510">
        <w:rPr>
          <w:rFonts w:eastAsia="MS PGothic" w:hint="cs"/>
          <w:color w:val="000000"/>
          <w:szCs w:val="32"/>
          <w:rtl/>
          <w:lang w:bidi="fa-IR"/>
        </w:rPr>
        <w:t xml:space="preserve"> </w:t>
      </w:r>
      <w:r w:rsidRPr="00EC3510">
        <w:rPr>
          <w:rFonts w:eastAsia="MS PGothic"/>
          <w:color w:val="000000"/>
          <w:szCs w:val="32"/>
          <w:lang w:val="en-US"/>
        </w:rPr>
        <w:t xml:space="preserve">meristems, in the same condition, embryos had no regeneration. The highest amount of phenolization was observed at combination of BAP 2 mg/l, IAA 0.5 mg/l and also BAP 2mg/l, GA3 2mg/l. At 5 mg concentration of BAP </w:t>
      </w:r>
      <w:r w:rsidRPr="00EC3510">
        <w:rPr>
          <w:rFonts w:eastAsia="MS PGothic" w:hint="cs"/>
          <w:color w:val="000000"/>
          <w:szCs w:val="32"/>
          <w:lang w:val="en-US"/>
        </w:rPr>
        <w:t>may</w:t>
      </w:r>
      <w:r w:rsidRPr="00EC3510">
        <w:rPr>
          <w:rFonts w:eastAsia="MS PGothic"/>
          <w:color w:val="000000"/>
          <w:szCs w:val="32"/>
          <w:lang w:val="en-US"/>
        </w:rPr>
        <w:t xml:space="preserve"> or may not be combined with</w:t>
      </w:r>
      <w:r w:rsidRPr="00EC3510">
        <w:rPr>
          <w:rFonts w:eastAsia="MS PGothic" w:hint="cs"/>
          <w:color w:val="000000"/>
          <w:szCs w:val="32"/>
          <w:rtl/>
          <w:lang w:bidi="fa-IR"/>
        </w:rPr>
        <w:t xml:space="preserve"> </w:t>
      </w:r>
      <w:r w:rsidRPr="00EC3510">
        <w:rPr>
          <w:rFonts w:eastAsia="MS PGothic"/>
          <w:color w:val="000000"/>
          <w:szCs w:val="32"/>
          <w:lang w:val="en-US"/>
        </w:rPr>
        <w:t>other growth regulators and regardless of their concentration, most of explant was strongly vitrified. Best result for regeneration had earned at two different treatments</w:t>
      </w:r>
      <w:r w:rsidRPr="00EC3510">
        <w:rPr>
          <w:rFonts w:eastAsia="MS PGothic" w:hint="cs"/>
          <w:color w:val="000000"/>
          <w:szCs w:val="32"/>
          <w:rtl/>
          <w:lang w:bidi="fa-IR"/>
        </w:rPr>
        <w:t xml:space="preserve">: </w:t>
      </w:r>
      <w:r w:rsidRPr="00EC3510">
        <w:rPr>
          <w:rFonts w:eastAsia="MS PGothic"/>
          <w:color w:val="000000"/>
          <w:szCs w:val="32"/>
          <w:lang w:val="en-US"/>
        </w:rPr>
        <w:t xml:space="preserve"> BAP</w:t>
      </w:r>
      <w:r w:rsidRPr="00EC3510">
        <w:rPr>
          <w:rFonts w:eastAsia="MS PGothic" w:hint="cs"/>
          <w:color w:val="000000"/>
          <w:szCs w:val="32"/>
          <w:rtl/>
          <w:lang w:bidi="fa-IR"/>
        </w:rPr>
        <w:t xml:space="preserve"> </w:t>
      </w:r>
      <w:r w:rsidRPr="00EC3510">
        <w:rPr>
          <w:rFonts w:eastAsia="MS PGothic"/>
          <w:color w:val="000000"/>
          <w:szCs w:val="32"/>
          <w:lang w:val="en-US"/>
        </w:rPr>
        <w:t xml:space="preserve"> 2 mg/l and TDZ 2 mg/l. In other treatments such as BAP 1mg/l and TDZ 1mg/l less regeneration was observed. It should be note that all explant was place at growth room with 23 ° C</w:t>
      </w:r>
      <w:r w:rsidRPr="00EC3510">
        <w:rPr>
          <w:rFonts w:eastAsia="MS PGothic" w:hint="cs"/>
          <w:color w:val="000000"/>
          <w:szCs w:val="32"/>
          <w:rtl/>
          <w:lang w:bidi="fa-IR"/>
        </w:rPr>
        <w:t xml:space="preserve"> </w:t>
      </w:r>
      <w:r w:rsidRPr="00EC3510">
        <w:rPr>
          <w:rFonts w:eastAsia="MS PGothic"/>
          <w:color w:val="000000"/>
          <w:szCs w:val="32"/>
          <w:lang w:val="en-US"/>
        </w:rPr>
        <w:t>and in 16 hours the light period and 8 hours’ darkness and Light intensity 2500 and 4500 lux. The intensity of the light was adjusted with the luxury meter</w:t>
      </w:r>
      <w:r w:rsidR="00AC3BCD">
        <w:rPr>
          <w:color w:val="000000"/>
        </w:rPr>
        <w:t>.</w:t>
      </w:r>
      <w:r w:rsidR="00F01887">
        <w:rPr>
          <w:color w:val="000000"/>
        </w:rPr>
        <w:t xml:space="preserve"> </w:t>
      </w:r>
      <w:r w:rsidR="00AC3BCD">
        <w:rPr>
          <w:color w:val="000000"/>
        </w:rPr>
        <w:t>(Up to 250 words)</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Default="00EC3510" w:rsidP="00D41CAC">
      <w:pPr>
        <w:jc w:val="both"/>
        <w:rPr>
          <w:lang w:val="en-US"/>
        </w:rPr>
      </w:pPr>
      <w:r>
        <w:t>Mohammad</w:t>
      </w:r>
      <w:r w:rsidR="00AC3BCD">
        <w:t xml:space="preserve"> has completed his </w:t>
      </w:r>
      <w:r w:rsidR="00443D82">
        <w:t>Msc</w:t>
      </w:r>
      <w:r w:rsidR="00330505">
        <w:t xml:space="preserve"> </w:t>
      </w:r>
      <w:r w:rsidR="00AC3BCD">
        <w:t xml:space="preserve">from </w:t>
      </w:r>
      <w:r w:rsidR="00443D82">
        <w:t>Payam Noor</w:t>
      </w:r>
      <w:r w:rsidR="00AC3BCD">
        <w:t xml:space="preserve"> University </w:t>
      </w:r>
      <w:r w:rsidR="00443D82">
        <w:t>Faculty of Agriculture</w:t>
      </w:r>
      <w:r w:rsidR="00AC3BCD">
        <w:t xml:space="preserve">. He is the </w:t>
      </w:r>
      <w:r w:rsidR="00443D82">
        <w:t>Commercial Manager at Rana Agro-Industry corporation</w:t>
      </w:r>
      <w:r w:rsidR="00AC3BCD">
        <w:t xml:space="preserve">, a </w:t>
      </w:r>
      <w:r w:rsidR="00443D82">
        <w:t xml:space="preserve">leading plant biotechnology company based in Tehran, Iran that produces Date Palm and walnut tree using tisuue culture techniques. He published 3 paper at national and international Biotechnology and Agriculture </w:t>
      </w:r>
      <w:r w:rsidR="001C240C">
        <w:t xml:space="preserve">congress, in the fields of plant tissue culture, bioresonance and </w:t>
      </w:r>
      <w:r w:rsidR="001C240C" w:rsidRPr="001C240C">
        <w:t>The effect of cold, drought and heat stresses</w:t>
      </w:r>
      <w:r w:rsidR="001C240C">
        <w:rPr>
          <w:rFonts w:hint="cs"/>
          <w:rtl/>
        </w:rPr>
        <w:t>.</w:t>
      </w:r>
      <w:r w:rsidR="001C240C">
        <w:t xml:space="preserve"> He </w:t>
      </w:r>
      <w:r w:rsidR="001C240C" w:rsidRPr="001C240C">
        <w:t>achieved</w:t>
      </w:r>
      <w:r w:rsidR="001C240C">
        <w:rPr>
          <w:rFonts w:hint="cs"/>
          <w:rtl/>
        </w:rPr>
        <w:t xml:space="preserve"> </w:t>
      </w:r>
      <w:r w:rsidR="001C240C">
        <w:t>the complete protocol of tissue culture and micropropagation of Persi</w:t>
      </w:r>
      <w:r w:rsidR="001C240C">
        <w:rPr>
          <w:lang w:val="en-US"/>
        </w:rPr>
        <w:t>a</w:t>
      </w:r>
      <w:r w:rsidR="001C240C">
        <w:t>n Oak (</w:t>
      </w:r>
      <w:r w:rsidR="001C240C" w:rsidRPr="001C240C">
        <w:rPr>
          <w:i/>
          <w:iCs/>
        </w:rPr>
        <w:t>Quercus Brantii var persica</w:t>
      </w:r>
      <w:r w:rsidR="001C240C">
        <w:t>) for the first time in Iran</w:t>
      </w:r>
      <w:r w:rsidR="00D41CAC">
        <w:t xml:space="preserve">. </w:t>
      </w:r>
      <w:r w:rsidR="00D41CAC">
        <w:rPr>
          <w:lang w:val="en-US"/>
        </w:rPr>
        <w:t>Optimization of</w:t>
      </w:r>
      <w:r w:rsidR="00D41CAC">
        <w:rPr>
          <w:rFonts w:hint="cs"/>
          <w:rtl/>
          <w:lang w:val="en-US"/>
        </w:rPr>
        <w:t xml:space="preserve"> </w:t>
      </w:r>
      <w:r w:rsidR="00D41CAC">
        <w:rPr>
          <w:lang w:val="en-US"/>
        </w:rPr>
        <w:t xml:space="preserve">Aloe-vera, stevia, Rose, </w:t>
      </w:r>
      <w:r w:rsidR="00D41CAC" w:rsidRPr="00D41CAC">
        <w:t>Asafoetida</w:t>
      </w:r>
      <w:r w:rsidR="00D41CAC">
        <w:rPr>
          <w:rFonts w:hint="cs"/>
          <w:rtl/>
        </w:rPr>
        <w:t xml:space="preserve"> )</w:t>
      </w:r>
      <w:r w:rsidR="00D41CAC" w:rsidRPr="00D41CAC">
        <w:rPr>
          <w:i/>
          <w:iCs/>
        </w:rPr>
        <w:t>Ferula assa-foetida</w:t>
      </w:r>
      <w:r w:rsidR="00D41CAC">
        <w:rPr>
          <w:rFonts w:hint="cs"/>
          <w:i/>
          <w:iCs/>
          <w:rtl/>
          <w:lang w:bidi="fa-IR"/>
        </w:rPr>
        <w:t>(</w:t>
      </w:r>
      <w:r w:rsidR="00D41CAC" w:rsidRPr="00D41CAC">
        <w:rPr>
          <w:lang w:val="en-US"/>
        </w:rPr>
        <w:t xml:space="preserve"> </w:t>
      </w:r>
      <w:r w:rsidR="00D41CAC">
        <w:rPr>
          <w:rFonts w:hint="cs"/>
          <w:rtl/>
          <w:lang w:val="en-US"/>
        </w:rPr>
        <w:t xml:space="preserve"> </w:t>
      </w:r>
      <w:r w:rsidR="00D41CAC">
        <w:rPr>
          <w:lang w:val="en-US"/>
        </w:rPr>
        <w:t>production methods.</w:t>
      </w:r>
      <w:bookmarkStart w:id="0" w:name="_GoBack"/>
      <w:bookmarkEnd w:id="0"/>
    </w:p>
    <w:p w:rsidR="00D41CAC" w:rsidRDefault="00D41CAC" w:rsidP="00D41CAC">
      <w:pPr>
        <w:jc w:val="both"/>
        <w:rPr>
          <w:rFonts w:eastAsia="MS PGothic"/>
          <w:b/>
          <w:color w:val="000000"/>
          <w:szCs w:val="32"/>
          <w:lang w:val="en-US" w:bidi="fa-IR"/>
        </w:rPr>
      </w:pPr>
    </w:p>
    <w:p w:rsidR="00D41CAC" w:rsidRDefault="00D41CAC" w:rsidP="00D41CAC">
      <w:pPr>
        <w:jc w:val="both"/>
        <w:rPr>
          <w:rFonts w:eastAsia="MS PGothic"/>
          <w:b/>
          <w:color w:val="000000"/>
          <w:szCs w:val="32"/>
          <w:lang w:val="en-US" w:bidi="fa-IR"/>
        </w:rPr>
      </w:pPr>
    </w:p>
    <w:p w:rsidR="00D41CAC" w:rsidRPr="00D41CAC" w:rsidRDefault="00D41CAC" w:rsidP="00D41CAC">
      <w:pPr>
        <w:jc w:val="both"/>
        <w:rPr>
          <w:rFonts w:eastAsia="MS PGothic" w:hint="cs"/>
          <w:b/>
          <w:color w:val="000000"/>
          <w:szCs w:val="32"/>
          <w:rtl/>
          <w:lang w:val="en-US" w:bidi="fa-IR"/>
        </w:rPr>
      </w:pPr>
    </w:p>
    <w:p w:rsidR="00D41CAC" w:rsidRDefault="00072E30" w:rsidP="00D41CAC">
      <w:pPr>
        <w:autoSpaceDE w:val="0"/>
        <w:autoSpaceDN w:val="0"/>
        <w:adjustRightInd w:val="0"/>
        <w:rPr>
          <w:lang w:val="en-NZ"/>
        </w:rPr>
      </w:pPr>
      <w:r w:rsidRPr="008A690F">
        <w:rPr>
          <w:b/>
          <w:lang w:val="en-NZ"/>
        </w:rPr>
        <w:lastRenderedPageBreak/>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EC3510">
        <w:rPr>
          <w:lang w:val="en-NZ"/>
        </w:rPr>
        <w:t>Mohammad Khayat Tehranchi</w:t>
      </w:r>
      <w:r w:rsidRPr="008A690F">
        <w:rPr>
          <w:lang w:val="en-NZ"/>
        </w:rPr>
        <w:br/>
        <w:t>Contact number:</w:t>
      </w:r>
      <w:r w:rsidR="00EC3510">
        <w:rPr>
          <w:lang w:val="en-NZ"/>
        </w:rPr>
        <w:t xml:space="preserve"> +98 912 687 21 64</w:t>
      </w:r>
      <w:r w:rsidRPr="008A690F">
        <w:rPr>
          <w:lang w:val="en-NZ"/>
        </w:rPr>
        <w:br/>
        <w:t>Twitter account:</w:t>
      </w:r>
      <w:r w:rsidR="00EC3510">
        <w:rPr>
          <w:lang w:val="en-NZ"/>
        </w:rPr>
        <w:t xml:space="preserve"> </w:t>
      </w:r>
      <w:hyperlink r:id="rId9" w:history="1">
        <w:r w:rsidR="00330505" w:rsidRPr="00330505">
          <w:rPr>
            <w:rStyle w:val="Hyperlink"/>
          </w:rPr>
          <w:t>https://twitter.com/Bioparasite</w:t>
        </w:r>
      </w:hyperlink>
    </w:p>
    <w:p w:rsidR="00A41107" w:rsidRPr="00D41CAC" w:rsidRDefault="00D41CAC" w:rsidP="00D41CAC">
      <w:pPr>
        <w:autoSpaceDE w:val="0"/>
        <w:autoSpaceDN w:val="0"/>
        <w:adjustRightInd w:val="0"/>
        <w:rPr>
          <w:lang w:val="en-NZ"/>
        </w:rPr>
      </w:pPr>
      <w:r>
        <w:rPr>
          <w:lang w:val="en-NZ"/>
        </w:rPr>
        <w:t xml:space="preserve">Researchgate account: </w:t>
      </w:r>
      <w:hyperlink r:id="rId10" w:history="1">
        <w:r w:rsidRPr="00D41CAC">
          <w:rPr>
            <w:rStyle w:val="Hyperlink"/>
          </w:rPr>
          <w:t>https://www.researchgate.net/profile/Mohammad_Tehranchi</w:t>
        </w:r>
      </w:hyperlink>
      <w:r w:rsidR="00072E30" w:rsidRPr="008A690F">
        <w:rPr>
          <w:lang w:val="en-NZ"/>
        </w:rPr>
        <w:br/>
        <w:t>Linked In account:</w:t>
      </w:r>
      <w:r w:rsidR="00EC3510" w:rsidRPr="00EC3510">
        <w:t xml:space="preserve"> </w:t>
      </w:r>
      <w:hyperlink r:id="rId11" w:history="1">
        <w:r w:rsidR="00EC3510" w:rsidRPr="00EC3510">
          <w:rPr>
            <w:rStyle w:val="Hyperlink"/>
          </w:rPr>
          <w:t>https://www.linkedin.com/in/mohammad-tehranchi-b259b192/</w:t>
        </w:r>
      </w:hyperlink>
    </w:p>
    <w:p w:rsidR="00AC3BCD" w:rsidRDefault="00AC3BCD" w:rsidP="00EC3510">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EC3510">
        <w:rPr>
          <w:lang w:val="en-NZ"/>
        </w:rPr>
        <w:t xml:space="preserve"> Agriculture Biotechnology</w:t>
      </w:r>
      <w:r w:rsidRPr="008A690F">
        <w:rPr>
          <w:lang w:val="en-NZ"/>
        </w:rPr>
        <w:br/>
        <w:t>Category: (Poster</w:t>
      </w:r>
      <w:r w:rsidR="00085B88" w:rsidRPr="008A690F">
        <w:rPr>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2"/>
      <w:headerReference w:type="default" r:id="rId13"/>
      <w:footerReference w:type="even" r:id="rId14"/>
      <w:footerReference w:type="default" r:id="rId15"/>
      <w:headerReference w:type="first" r:id="rId16"/>
      <w:footerReference w:type="first" r:id="rId17"/>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5A7" w:rsidRDefault="00D035A7" w:rsidP="00671A59">
      <w:r>
        <w:separator/>
      </w:r>
    </w:p>
  </w:endnote>
  <w:endnote w:type="continuationSeparator" w:id="0">
    <w:p w:rsidR="00D035A7" w:rsidRDefault="00D035A7"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1"/>
    <w:family w:val="roman"/>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5A7" w:rsidRDefault="00D035A7" w:rsidP="00671A59">
      <w:r>
        <w:separator/>
      </w:r>
    </w:p>
  </w:footnote>
  <w:footnote w:type="continuationSeparator" w:id="0">
    <w:p w:rsidR="00D035A7" w:rsidRDefault="00D035A7" w:rsidP="00671A5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C240C"/>
    <w:rsid w:val="001F414A"/>
    <w:rsid w:val="00205354"/>
    <w:rsid w:val="002659F1"/>
    <w:rsid w:val="00270EC9"/>
    <w:rsid w:val="00292DC0"/>
    <w:rsid w:val="002B18D5"/>
    <w:rsid w:val="002C0F2B"/>
    <w:rsid w:val="00330505"/>
    <w:rsid w:val="003753DD"/>
    <w:rsid w:val="003A4429"/>
    <w:rsid w:val="00443D82"/>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035A7"/>
    <w:rsid w:val="00D367E3"/>
    <w:rsid w:val="00D41CAC"/>
    <w:rsid w:val="00DA2249"/>
    <w:rsid w:val="00DA581F"/>
    <w:rsid w:val="00DC29A1"/>
    <w:rsid w:val="00DC7405"/>
    <w:rsid w:val="00DD3006"/>
    <w:rsid w:val="00DE2102"/>
    <w:rsid w:val="00E119D1"/>
    <w:rsid w:val="00E713DA"/>
    <w:rsid w:val="00E85CF8"/>
    <w:rsid w:val="00EB353E"/>
    <w:rsid w:val="00EC3510"/>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85355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nkedin.com/in/mohammad-tehranchi-b259b192/"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researchgate.net/profile/Mohammad_Tehranch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witter.com/Bioparasit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E9945-1BF1-44A5-A94B-A60E445B5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535</Words>
  <Characters>3051</Characters>
  <Application>Microsoft Office Word</Application>
  <DocSecurity>0</DocSecurity>
  <Lines>25</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3579</CharactersWithSpaces>
  <SharedDoc>false</SharedDoc>
  <HLinks>
    <vt:vector size="6" baseType="variant">
      <vt:variant>
        <vt:i4>5963870</vt:i4>
      </vt:variant>
      <vt:variant>
        <vt:i4>0</vt:i4>
      </vt:variant>
      <vt:variant>
        <vt:i4>0</vt:i4>
      </vt:variant>
      <vt:variant>
        <vt:i4>5</vt:i4>
      </vt:variant>
      <vt:variant>
        <vt:lpwstr>https://www.linkedin.com/in/mohammad-tehranchi-b259b192/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2019-05-25T07:32:00Z</dcterms:created>
  <dcterms:modified xsi:type="dcterms:W3CDTF">2019-05-25T07:32:00Z</dcterms:modified>
</cp:coreProperties>
</file>