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8CD" w:rsidRPr="004D6DF6" w:rsidRDefault="003A58CD" w:rsidP="003A58CD">
      <w:pPr>
        <w:tabs>
          <w:tab w:val="left" w:pos="7650"/>
        </w:tabs>
        <w:jc w:val="center"/>
        <w:rPr>
          <w:b/>
          <w:sz w:val="20"/>
          <w:szCs w:val="20"/>
        </w:rPr>
      </w:pPr>
      <w:r w:rsidRPr="004D6DF6">
        <w:rPr>
          <w:b/>
          <w:sz w:val="20"/>
          <w:szCs w:val="20"/>
        </w:rPr>
        <w:t xml:space="preserve">Non-compliance </w:t>
      </w:r>
      <w:r w:rsidR="00DC5EBA">
        <w:rPr>
          <w:b/>
          <w:sz w:val="20"/>
          <w:szCs w:val="20"/>
        </w:rPr>
        <w:t>with</w:t>
      </w:r>
      <w:r w:rsidRPr="004D6DF6">
        <w:rPr>
          <w:b/>
          <w:sz w:val="20"/>
          <w:szCs w:val="20"/>
        </w:rPr>
        <w:t xml:space="preserve"> tobacco legislation in Zimbabwe: Causes and way forward</w:t>
      </w:r>
    </w:p>
    <w:p w:rsidR="00CA288B" w:rsidRPr="004D6DF6" w:rsidRDefault="003A58CD" w:rsidP="004D6DF6">
      <w:pPr>
        <w:pStyle w:val="BodyText"/>
        <w:spacing w:before="73" w:line="198" w:lineRule="exact"/>
        <w:ind w:left="100" w:right="2950"/>
        <w:rPr>
          <w:sz w:val="20"/>
          <w:szCs w:val="20"/>
        </w:rPr>
      </w:pPr>
      <w:r w:rsidRPr="004D6DF6">
        <w:rPr>
          <w:sz w:val="20"/>
          <w:szCs w:val="20"/>
        </w:rPr>
        <w:t xml:space="preserve">Mangombe </w:t>
      </w:r>
      <w:r w:rsidRPr="004D6DF6">
        <w:rPr>
          <w:sz w:val="20"/>
          <w:szCs w:val="20"/>
        </w:rPr>
        <w:t>Nyikadzino</w:t>
      </w:r>
      <w:r w:rsidRPr="004D6DF6">
        <w:rPr>
          <w:sz w:val="20"/>
          <w:szCs w:val="20"/>
        </w:rPr>
        <w:t xml:space="preserve"> BSc Honours Horticulture</w:t>
      </w:r>
      <w:r w:rsidR="00CA288B" w:rsidRPr="004D6DF6">
        <w:rPr>
          <w:sz w:val="20"/>
          <w:szCs w:val="20"/>
        </w:rPr>
        <w:t xml:space="preserve">, </w:t>
      </w:r>
      <w:r w:rsidR="00685A71" w:rsidRPr="004D6DF6">
        <w:rPr>
          <w:bCs/>
          <w:sz w:val="20"/>
          <w:szCs w:val="20"/>
        </w:rPr>
        <w:t>Plant Quarantine Services Institute</w:t>
      </w:r>
      <w:r w:rsidR="004D6DF6">
        <w:rPr>
          <w:bCs/>
          <w:sz w:val="20"/>
          <w:szCs w:val="20"/>
        </w:rPr>
        <w:t xml:space="preserve">, </w:t>
      </w:r>
      <w:r w:rsidR="004D6DF6" w:rsidRPr="004D6DF6">
        <w:rPr>
          <w:sz w:val="20"/>
          <w:szCs w:val="20"/>
        </w:rPr>
        <w:t>Zimbabwe</w:t>
      </w:r>
    </w:p>
    <w:p w:rsidR="005973B9" w:rsidRPr="004D6DF6" w:rsidRDefault="00CA288B" w:rsidP="00CA288B">
      <w:pPr>
        <w:pStyle w:val="BodyText"/>
        <w:spacing w:before="73" w:line="198" w:lineRule="exact"/>
        <w:ind w:left="100" w:right="3220"/>
        <w:rPr>
          <w:sz w:val="20"/>
          <w:szCs w:val="20"/>
        </w:rPr>
      </w:pPr>
      <w:r w:rsidRPr="004D6DF6">
        <w:rPr>
          <w:sz w:val="20"/>
          <w:szCs w:val="20"/>
        </w:rPr>
        <w:t>Tibugari Handsen, MSc Crop Protection, Gwanda State University, Zimbabwe</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Pr="00685A71" w:rsidRDefault="003A58CD">
      <w:pPr>
        <w:pStyle w:val="BodyText"/>
        <w:spacing w:before="90" w:line="280" w:lineRule="auto"/>
        <w:ind w:left="100"/>
        <w:jc w:val="both"/>
        <w:rPr>
          <w:sz w:val="20"/>
          <w:szCs w:val="14"/>
        </w:rPr>
      </w:pPr>
      <w:r w:rsidRPr="00685A71">
        <w:rPr>
          <w:rStyle w:val="Heading1Char"/>
          <w:rFonts w:ascii="Tw Cen MT" w:hAnsi="Tw Cen MT"/>
          <w:b w:val="0"/>
          <w:sz w:val="20"/>
          <w:szCs w:val="14"/>
        </w:rPr>
        <w:t xml:space="preserve">Non-compliance with tobacco legislation increases pest and disease outbeaks in tobacco. </w:t>
      </w:r>
      <w:r w:rsidRPr="00685A71">
        <w:rPr>
          <w:sz w:val="20"/>
          <w:szCs w:val="14"/>
        </w:rPr>
        <w:t xml:space="preserve">A study to examine factors influencing tobacco legislation non-compliance in Upper Muzarabani district of Zimbabwe was carried out in the 2014/15 tobacco growing season. The study used a cross-sectional data on 109 tobacco farmers and three in-depth interviews with key informants. Quantitative data were used to examine factors influencing noncompliance to tobacco legislation using frequencies and Fishers exact test. Qualitative data were used to establish reasons for farmer non-compliance with this legislation despite being aware of this act using the thematic analysis approach. There was no significant association (P&gt;0.05) between the background characteristics and awareness of tobacco legislation. Most farmers (79.9%) knew the amount of fine to be paid for failing to destroy tobacco stalks, and 72.5% were aware of the stalk destruction date. About half of the respondents (52.3%) were previously issued with tickets, indicating noncompliance with the legislation by farmers. The qualitative results revealed that a lot of non-compliance was a result of poor enforcement, low penalty charges, and poor coordination of efforts among responsible stakeholders involved in the operations. There is need to promote awareness and enforce the tobacco legislation among farmers. There is need to revise the penalty so that it becomes a major deterrent to noncompliance. In view of climate change which may cause shifts in the onset of planting rains, revisiting tobacco stalk destruction dates stipulated in the legislation may be necessary.       </w:t>
      </w:r>
    </w:p>
    <w:p w:rsidR="005973B9" w:rsidRDefault="00A9710C" w:rsidP="004D6DF6">
      <w:pPr>
        <w:pStyle w:val="Heading3"/>
        <w:spacing w:before="74"/>
        <w:rPr>
          <w:b w:val="0"/>
        </w:rPr>
      </w:pPr>
      <w:r>
        <w:rPr>
          <w:b w:val="0"/>
        </w:rPr>
        <w:br w:type="column"/>
      </w:r>
      <w:r w:rsidR="005973B9">
        <w:rPr>
          <w:color w:val="BF5A14"/>
        </w:rPr>
        <w:t>Recent Publications (minimum 5)</w:t>
      </w:r>
    </w:p>
    <w:p w:rsidR="004674A7" w:rsidRPr="004674A7" w:rsidRDefault="004674A7" w:rsidP="004674A7">
      <w:pPr>
        <w:widowControl/>
        <w:numPr>
          <w:ilvl w:val="0"/>
          <w:numId w:val="4"/>
        </w:numPr>
        <w:autoSpaceDE w:val="0"/>
        <w:autoSpaceDN w:val="0"/>
        <w:adjustRightInd w:val="0"/>
        <w:jc w:val="both"/>
        <w:rPr>
          <w:rFonts w:cs="Times New Roman"/>
          <w:b/>
          <w:bCs/>
          <w:sz w:val="20"/>
          <w:szCs w:val="20"/>
        </w:rPr>
      </w:pPr>
      <w:r w:rsidRPr="004674A7">
        <w:rPr>
          <w:rFonts w:eastAsia="Calibri" w:cs="Times New Roman"/>
          <w:b/>
          <w:sz w:val="20"/>
          <w:szCs w:val="20"/>
          <w:lang w:eastAsia="en-ZW"/>
        </w:rPr>
        <w:t>Handsen Tibugari</w:t>
      </w:r>
      <w:r w:rsidRPr="004674A7">
        <w:rPr>
          <w:rFonts w:eastAsia="Calibri" w:cs="Times New Roman"/>
          <w:sz w:val="20"/>
          <w:szCs w:val="20"/>
          <w:lang w:eastAsia="en-ZW"/>
        </w:rPr>
        <w:t xml:space="preserve">, Cornelius Chiduza, Arnold B Mashingaidze &amp; Stanford Mabasa. 2019. Quantification of sorgoleone in sorghum accessions from eight southern African countries. </w:t>
      </w:r>
      <w:r w:rsidRPr="004674A7">
        <w:rPr>
          <w:rFonts w:eastAsia="Calibri" w:cs="Times New Roman"/>
          <w:i/>
          <w:sz w:val="20"/>
          <w:szCs w:val="20"/>
          <w:lang w:eastAsia="en-ZW"/>
        </w:rPr>
        <w:t>South African Journal of Plant and Soil</w:t>
      </w:r>
      <w:r w:rsidRPr="004674A7">
        <w:rPr>
          <w:rFonts w:eastAsia="Calibri" w:cs="Times New Roman"/>
          <w:sz w:val="20"/>
          <w:szCs w:val="20"/>
          <w:lang w:eastAsia="en-ZW"/>
        </w:rPr>
        <w:t xml:space="preserve"> 3</w:t>
      </w:r>
      <w:r w:rsidR="00503029">
        <w:rPr>
          <w:rFonts w:eastAsia="Calibri" w:cs="Times New Roman"/>
          <w:sz w:val="20"/>
          <w:szCs w:val="20"/>
          <w:lang w:eastAsia="en-ZW"/>
        </w:rPr>
        <w:t>6:1, 41-50.</w:t>
      </w:r>
    </w:p>
    <w:p w:rsidR="004674A7" w:rsidRPr="004674A7" w:rsidRDefault="004674A7" w:rsidP="004674A7">
      <w:pPr>
        <w:widowControl/>
        <w:numPr>
          <w:ilvl w:val="0"/>
          <w:numId w:val="4"/>
        </w:numPr>
        <w:autoSpaceDE w:val="0"/>
        <w:autoSpaceDN w:val="0"/>
        <w:adjustRightInd w:val="0"/>
        <w:jc w:val="both"/>
        <w:rPr>
          <w:rFonts w:eastAsia="Calibri" w:cs="Times New Roman"/>
          <w:sz w:val="20"/>
          <w:szCs w:val="20"/>
          <w:lang w:eastAsia="en-ZW"/>
        </w:rPr>
      </w:pPr>
      <w:r w:rsidRPr="004674A7">
        <w:rPr>
          <w:rFonts w:eastAsia="Calibri" w:cs="Times New Roman"/>
          <w:sz w:val="20"/>
          <w:szCs w:val="20"/>
          <w:lang w:eastAsia="en-ZW"/>
        </w:rPr>
        <w:t xml:space="preserve">Parwada C, Mandumbu R, </w:t>
      </w:r>
      <w:r w:rsidRPr="004674A7">
        <w:rPr>
          <w:rFonts w:eastAsia="Calibri" w:cs="Times New Roman"/>
          <w:b/>
          <w:sz w:val="20"/>
          <w:szCs w:val="20"/>
          <w:lang w:eastAsia="en-ZW"/>
        </w:rPr>
        <w:t>Tibugari H</w:t>
      </w:r>
      <w:r w:rsidRPr="004674A7">
        <w:rPr>
          <w:rFonts w:eastAsia="Calibri" w:cs="Times New Roman"/>
          <w:sz w:val="20"/>
          <w:szCs w:val="20"/>
          <w:lang w:eastAsia="en-ZW"/>
        </w:rPr>
        <w:t>, Trust A. Chinyama TA. 2019. Effects of</w:t>
      </w:r>
      <w:r>
        <w:rPr>
          <w:rFonts w:eastAsia="Calibri" w:cs="Times New Roman"/>
          <w:sz w:val="20"/>
          <w:szCs w:val="20"/>
          <w:lang w:eastAsia="en-ZW"/>
        </w:rPr>
        <w:t xml:space="preserve"> </w:t>
      </w:r>
      <w:r w:rsidRPr="004674A7">
        <w:rPr>
          <w:rFonts w:eastAsia="Calibri" w:cs="Times New Roman"/>
          <w:sz w:val="20"/>
          <w:szCs w:val="20"/>
          <w:lang w:eastAsia="en-ZW"/>
        </w:rPr>
        <w:t>tillage and crop residues management in improving water-use efficiency in dryland</w:t>
      </w:r>
    </w:p>
    <w:p w:rsidR="004674A7" w:rsidRPr="004674A7" w:rsidRDefault="00503029" w:rsidP="004674A7">
      <w:pPr>
        <w:autoSpaceDE w:val="0"/>
        <w:autoSpaceDN w:val="0"/>
        <w:adjustRightInd w:val="0"/>
        <w:ind w:firstLine="720"/>
        <w:jc w:val="both"/>
        <w:rPr>
          <w:rFonts w:eastAsia="Calibri" w:cs="Times New Roman"/>
          <w:sz w:val="20"/>
          <w:szCs w:val="20"/>
          <w:lang w:eastAsia="en-ZW"/>
        </w:rPr>
      </w:pPr>
      <w:r w:rsidRPr="004674A7">
        <w:rPr>
          <w:rFonts w:eastAsia="Calibri" w:cs="Times New Roman"/>
          <w:sz w:val="20"/>
          <w:szCs w:val="20"/>
          <w:lang w:eastAsia="en-ZW"/>
        </w:rPr>
        <w:t>Crops</w:t>
      </w:r>
      <w:r w:rsidR="004674A7" w:rsidRPr="004674A7">
        <w:rPr>
          <w:rFonts w:eastAsia="Calibri" w:cs="Times New Roman"/>
          <w:sz w:val="20"/>
          <w:szCs w:val="20"/>
          <w:lang w:eastAsia="en-ZW"/>
        </w:rPr>
        <w:t xml:space="preserve"> under sandy soils. </w:t>
      </w:r>
      <w:r w:rsidR="004674A7" w:rsidRPr="004674A7">
        <w:rPr>
          <w:rFonts w:eastAsia="Calibri" w:cs="Times New Roman"/>
          <w:i/>
          <w:iCs/>
          <w:sz w:val="20"/>
          <w:szCs w:val="20"/>
          <w:lang w:eastAsia="en-ZW"/>
        </w:rPr>
        <w:t xml:space="preserve">Science Arena Publications </w:t>
      </w:r>
      <w:r w:rsidR="004674A7">
        <w:rPr>
          <w:rFonts w:eastAsia="Calibri" w:cs="Times New Roman"/>
          <w:i/>
          <w:iCs/>
          <w:sz w:val="20"/>
          <w:szCs w:val="20"/>
          <w:lang w:eastAsia="en-ZW"/>
        </w:rPr>
        <w:t xml:space="preserve">  </w:t>
      </w:r>
      <w:r w:rsidR="004674A7">
        <w:rPr>
          <w:rFonts w:eastAsia="Calibri" w:cs="Times New Roman"/>
          <w:i/>
          <w:iCs/>
          <w:sz w:val="20"/>
          <w:szCs w:val="20"/>
          <w:lang w:eastAsia="en-ZW"/>
        </w:rPr>
        <w:tab/>
      </w:r>
      <w:r w:rsidR="004674A7" w:rsidRPr="004674A7">
        <w:rPr>
          <w:rFonts w:eastAsia="Calibri" w:cs="Times New Roman"/>
          <w:i/>
          <w:iCs/>
          <w:sz w:val="20"/>
          <w:szCs w:val="20"/>
          <w:lang w:eastAsia="en-ZW"/>
        </w:rPr>
        <w:t>Specialty Journal of Agricultural</w:t>
      </w:r>
      <w:r w:rsidR="004674A7">
        <w:rPr>
          <w:rFonts w:eastAsia="Calibri" w:cs="Times New Roman"/>
          <w:i/>
          <w:iCs/>
          <w:sz w:val="20"/>
          <w:szCs w:val="20"/>
          <w:lang w:eastAsia="en-ZW"/>
        </w:rPr>
        <w:t xml:space="preserve"> </w:t>
      </w:r>
      <w:r w:rsidR="004674A7" w:rsidRPr="004674A7">
        <w:rPr>
          <w:rFonts w:eastAsia="Calibri" w:cs="Times New Roman"/>
          <w:i/>
          <w:iCs/>
          <w:sz w:val="20"/>
          <w:szCs w:val="20"/>
          <w:lang w:eastAsia="en-ZW"/>
        </w:rPr>
        <w:t xml:space="preserve">Sciences </w:t>
      </w:r>
      <w:r w:rsidR="004674A7" w:rsidRPr="004674A7">
        <w:rPr>
          <w:rFonts w:eastAsia="Calibri" w:cs="Times New Roman"/>
          <w:sz w:val="20"/>
          <w:szCs w:val="20"/>
          <w:lang w:eastAsia="en-ZW"/>
        </w:rPr>
        <w:t>5(2): 1-14.</w:t>
      </w:r>
    </w:p>
    <w:p w:rsidR="004674A7" w:rsidRPr="004674A7" w:rsidRDefault="004674A7" w:rsidP="004674A7">
      <w:pPr>
        <w:widowControl/>
        <w:numPr>
          <w:ilvl w:val="0"/>
          <w:numId w:val="4"/>
        </w:numPr>
        <w:autoSpaceDE w:val="0"/>
        <w:autoSpaceDN w:val="0"/>
        <w:adjustRightInd w:val="0"/>
        <w:jc w:val="both"/>
        <w:rPr>
          <w:rFonts w:cs="Times New Roman"/>
          <w:b/>
          <w:bCs/>
          <w:sz w:val="20"/>
          <w:szCs w:val="20"/>
        </w:rPr>
      </w:pPr>
      <w:r w:rsidRPr="004674A7">
        <w:rPr>
          <w:rFonts w:cs="Times New Roman"/>
          <w:b/>
          <w:sz w:val="20"/>
          <w:szCs w:val="20"/>
        </w:rPr>
        <w:t xml:space="preserve">Tibugari H. and Mandumbu R. </w:t>
      </w:r>
      <w:r w:rsidRPr="004674A7">
        <w:rPr>
          <w:rFonts w:cs="Times New Roman"/>
          <w:sz w:val="20"/>
          <w:szCs w:val="20"/>
        </w:rPr>
        <w:t xml:space="preserve">2017. </w:t>
      </w:r>
      <w:r w:rsidRPr="004674A7">
        <w:rPr>
          <w:rFonts w:cs="Times New Roman"/>
          <w:bCs/>
          <w:sz w:val="20"/>
          <w:szCs w:val="20"/>
          <w:lang w:eastAsia="en-ZW"/>
        </w:rPr>
        <w:t>Pest resistance management strategies: A mini review of the case of cotton (</w:t>
      </w:r>
      <w:r w:rsidRPr="004674A7">
        <w:rPr>
          <w:rFonts w:cs="Times New Roman"/>
          <w:bCs/>
          <w:i/>
          <w:iCs/>
          <w:sz w:val="20"/>
          <w:szCs w:val="20"/>
          <w:lang w:eastAsia="en-ZW"/>
        </w:rPr>
        <w:t>Gossypium hirsutum</w:t>
      </w:r>
      <w:r w:rsidRPr="004674A7">
        <w:rPr>
          <w:rFonts w:cs="Times New Roman"/>
          <w:bCs/>
          <w:sz w:val="20"/>
          <w:szCs w:val="20"/>
          <w:lang w:eastAsia="en-ZW"/>
        </w:rPr>
        <w:t xml:space="preserve">) in Zimbabwe. </w:t>
      </w:r>
      <w:r w:rsidRPr="004674A7">
        <w:rPr>
          <w:rFonts w:cs="Times New Roman"/>
          <w:bCs/>
          <w:i/>
          <w:sz w:val="20"/>
          <w:szCs w:val="20"/>
          <w:lang w:eastAsia="en-ZW"/>
        </w:rPr>
        <w:t>Zimbabwe Journal of Science and Technology</w:t>
      </w:r>
      <w:r w:rsidRPr="004674A7">
        <w:rPr>
          <w:rFonts w:cs="Times New Roman"/>
          <w:sz w:val="20"/>
          <w:szCs w:val="20"/>
          <w:lang w:eastAsia="en-ZW"/>
        </w:rPr>
        <w:t xml:space="preserve"> 12:41-48.</w:t>
      </w:r>
    </w:p>
    <w:p w:rsidR="004674A7" w:rsidRDefault="004674A7" w:rsidP="00A0453B">
      <w:pPr>
        <w:pStyle w:val="Default"/>
        <w:numPr>
          <w:ilvl w:val="0"/>
          <w:numId w:val="4"/>
        </w:numPr>
        <w:jc w:val="both"/>
        <w:rPr>
          <w:rFonts w:ascii="Tw Cen MT" w:hAnsi="Tw Cen MT"/>
          <w:sz w:val="20"/>
          <w:szCs w:val="20"/>
        </w:rPr>
      </w:pPr>
      <w:r w:rsidRPr="00136617">
        <w:rPr>
          <w:rFonts w:ascii="Tw Cen MT" w:hAnsi="Tw Cen MT"/>
          <w:sz w:val="20"/>
          <w:szCs w:val="20"/>
        </w:rPr>
        <w:t xml:space="preserve">R. Mandumbu, C. Karavina, </w:t>
      </w:r>
      <w:r w:rsidRPr="00136617">
        <w:rPr>
          <w:rFonts w:ascii="Tw Cen MT" w:hAnsi="Tw Cen MT"/>
          <w:b/>
          <w:sz w:val="20"/>
          <w:szCs w:val="20"/>
        </w:rPr>
        <w:t>H.</w:t>
      </w:r>
      <w:r w:rsidRPr="00136617">
        <w:rPr>
          <w:rFonts w:ascii="Tw Cen MT" w:hAnsi="Tw Cen MT"/>
          <w:sz w:val="20"/>
          <w:szCs w:val="20"/>
        </w:rPr>
        <w:t xml:space="preserve"> </w:t>
      </w:r>
      <w:r w:rsidRPr="00136617">
        <w:rPr>
          <w:rFonts w:ascii="Tw Cen MT" w:hAnsi="Tw Cen MT"/>
          <w:b/>
          <w:sz w:val="20"/>
          <w:szCs w:val="20"/>
        </w:rPr>
        <w:t xml:space="preserve">Tibugari, </w:t>
      </w:r>
      <w:r w:rsidRPr="00136617">
        <w:rPr>
          <w:rFonts w:ascii="Tw Cen MT" w:hAnsi="Tw Cen MT"/>
          <w:sz w:val="20"/>
          <w:szCs w:val="20"/>
        </w:rPr>
        <w:t xml:space="preserve">L. Mandizvidza, S. Mhungu and J. Rugare 2016. Allelopathic potential of sorghum, wheat and maize residue extracts on germination and early establishment of </w:t>
      </w:r>
      <w:r w:rsidRPr="00136617">
        <w:rPr>
          <w:rFonts w:ascii="Tw Cen MT" w:hAnsi="Tw Cen MT"/>
          <w:i/>
          <w:sz w:val="20"/>
          <w:szCs w:val="20"/>
        </w:rPr>
        <w:t>Amaranthus hybridus</w:t>
      </w:r>
      <w:r w:rsidRPr="00136617">
        <w:rPr>
          <w:rFonts w:ascii="Tw Cen MT" w:hAnsi="Tw Cen MT"/>
          <w:sz w:val="20"/>
          <w:szCs w:val="20"/>
        </w:rPr>
        <w:t xml:space="preserve"> (L.) and </w:t>
      </w:r>
      <w:r w:rsidRPr="00136617">
        <w:rPr>
          <w:rFonts w:ascii="Tw Cen MT" w:hAnsi="Tw Cen MT"/>
          <w:i/>
          <w:sz w:val="20"/>
          <w:szCs w:val="20"/>
        </w:rPr>
        <w:t>Rottboellia</w:t>
      </w:r>
      <w:r w:rsidRPr="00136617">
        <w:rPr>
          <w:rFonts w:ascii="Tw Cen MT" w:hAnsi="Tw Cen MT"/>
          <w:sz w:val="20"/>
          <w:szCs w:val="20"/>
        </w:rPr>
        <w:t xml:space="preserve"> </w:t>
      </w:r>
      <w:r w:rsidRPr="00136617">
        <w:rPr>
          <w:rFonts w:ascii="Tw Cen MT" w:hAnsi="Tw Cen MT"/>
          <w:i/>
          <w:sz w:val="20"/>
          <w:szCs w:val="20"/>
        </w:rPr>
        <w:t>cochinchinensis</w:t>
      </w:r>
      <w:r w:rsidRPr="00136617">
        <w:rPr>
          <w:rFonts w:ascii="Tw Cen MT" w:hAnsi="Tw Cen MT"/>
          <w:sz w:val="20"/>
          <w:szCs w:val="20"/>
        </w:rPr>
        <w:t xml:space="preserve"> (L.) </w:t>
      </w:r>
      <w:r w:rsidRPr="00136617">
        <w:rPr>
          <w:rFonts w:ascii="Tw Cen MT" w:hAnsi="Tw Cen MT"/>
          <w:i/>
          <w:sz w:val="20"/>
          <w:szCs w:val="20"/>
        </w:rPr>
        <w:t xml:space="preserve">Journal of Applied Science in Southern Africa </w:t>
      </w:r>
      <w:r w:rsidRPr="00136617">
        <w:rPr>
          <w:rFonts w:ascii="Tw Cen MT" w:hAnsi="Tw Cen MT"/>
          <w:sz w:val="20"/>
          <w:szCs w:val="20"/>
        </w:rPr>
        <w:t>22(2): 21-29.</w:t>
      </w:r>
    </w:p>
    <w:p w:rsidR="00136617" w:rsidRPr="00363F61" w:rsidRDefault="00136617" w:rsidP="00136617">
      <w:pPr>
        <w:widowControl/>
        <w:numPr>
          <w:ilvl w:val="0"/>
          <w:numId w:val="4"/>
        </w:numPr>
        <w:autoSpaceDE w:val="0"/>
        <w:autoSpaceDN w:val="0"/>
        <w:adjustRightInd w:val="0"/>
        <w:jc w:val="both"/>
        <w:rPr>
          <w:rFonts w:cs="Times New Roman"/>
          <w:b/>
          <w:bCs/>
          <w:sz w:val="20"/>
          <w:szCs w:val="20"/>
        </w:rPr>
      </w:pPr>
      <w:r>
        <w:rPr>
          <w:rFonts w:cs="Times New Roman"/>
          <w:b/>
          <w:bCs/>
          <w:sz w:val="20"/>
          <w:szCs w:val="20"/>
        </w:rPr>
        <w:t xml:space="preserve">Handsen Tibugari, </w:t>
      </w:r>
      <w:r w:rsidRPr="004674A7">
        <w:rPr>
          <w:rFonts w:cs="Times New Roman"/>
          <w:sz w:val="20"/>
          <w:szCs w:val="20"/>
        </w:rPr>
        <w:t xml:space="preserve">Peter Jowah (2013) Are </w:t>
      </w:r>
      <w:r w:rsidRPr="004674A7">
        <w:rPr>
          <w:rFonts w:cs="Times New Roman"/>
          <w:i/>
          <w:iCs/>
          <w:sz w:val="20"/>
          <w:szCs w:val="20"/>
        </w:rPr>
        <w:t xml:space="preserve">Helicoverpa armigera </w:t>
      </w:r>
      <w:r w:rsidRPr="004674A7">
        <w:rPr>
          <w:rFonts w:cs="Times New Roman"/>
          <w:sz w:val="20"/>
          <w:szCs w:val="20"/>
        </w:rPr>
        <w:t xml:space="preserve">and </w:t>
      </w:r>
      <w:r w:rsidRPr="004674A7">
        <w:rPr>
          <w:rFonts w:cs="Times New Roman"/>
          <w:i/>
          <w:iCs/>
          <w:sz w:val="20"/>
          <w:szCs w:val="20"/>
        </w:rPr>
        <w:t xml:space="preserve">Tetranychus </w:t>
      </w:r>
      <w:r w:rsidRPr="004674A7">
        <w:rPr>
          <w:rFonts w:cs="Times New Roman"/>
          <w:sz w:val="20"/>
          <w:szCs w:val="20"/>
        </w:rPr>
        <w:t xml:space="preserve">spp. populations still susceptible to pesticides? A Zimbabwean study. </w:t>
      </w:r>
      <w:r w:rsidRPr="004674A7">
        <w:rPr>
          <w:rFonts w:cs="Times New Roman"/>
          <w:i/>
          <w:iCs/>
          <w:sz w:val="20"/>
          <w:szCs w:val="20"/>
        </w:rPr>
        <w:t xml:space="preserve">Archives of Phytopathology and Plant Protection </w:t>
      </w:r>
      <w:r w:rsidRPr="004674A7">
        <w:rPr>
          <w:rFonts w:cs="Times New Roman"/>
          <w:iCs/>
          <w:sz w:val="20"/>
          <w:szCs w:val="20"/>
        </w:rPr>
        <w:t>47(10): 1146-1157</w:t>
      </w:r>
      <w:r w:rsidRPr="004674A7">
        <w:rPr>
          <w:rFonts w:cs="Times New Roman"/>
          <w:sz w:val="20"/>
          <w:szCs w:val="20"/>
        </w:rPr>
        <w:t xml:space="preserve">. </w:t>
      </w:r>
    </w:p>
    <w:p w:rsidR="00363F61" w:rsidRPr="009C723B" w:rsidRDefault="00363F61" w:rsidP="00363F61">
      <w:pPr>
        <w:widowControl/>
        <w:numPr>
          <w:ilvl w:val="0"/>
          <w:numId w:val="4"/>
        </w:numPr>
        <w:autoSpaceDE w:val="0"/>
        <w:autoSpaceDN w:val="0"/>
        <w:adjustRightInd w:val="0"/>
        <w:jc w:val="both"/>
        <w:rPr>
          <w:b/>
          <w:bCs/>
          <w:sz w:val="20"/>
          <w:szCs w:val="20"/>
          <w:lang w:val="en-ZW"/>
        </w:rPr>
      </w:pPr>
      <w:r w:rsidRPr="009C723B">
        <w:rPr>
          <w:b/>
          <w:bCs/>
          <w:sz w:val="20"/>
          <w:szCs w:val="20"/>
          <w:lang w:val="en-ZW"/>
        </w:rPr>
        <w:t>Handsen Tibugari</w:t>
      </w:r>
      <w:r w:rsidRPr="009C723B">
        <w:rPr>
          <w:sz w:val="20"/>
          <w:szCs w:val="20"/>
          <w:lang w:val="en-ZW"/>
        </w:rPr>
        <w:t xml:space="preserve">, Fradrick Arthur Musendo, Sommerset Mhungu, Ronald Mandumbu and Kufa Mutsengi (2013): The fruitfully scourge: has Zimbabwe been spared? </w:t>
      </w:r>
      <w:r w:rsidRPr="009C723B">
        <w:rPr>
          <w:i/>
          <w:iCs/>
          <w:sz w:val="20"/>
          <w:szCs w:val="20"/>
        </w:rPr>
        <w:t>Archives of Phytopathology and Plant Protection</w:t>
      </w:r>
      <w:r w:rsidR="00711018">
        <w:rPr>
          <w:iCs/>
          <w:sz w:val="20"/>
          <w:szCs w:val="20"/>
        </w:rPr>
        <w:t xml:space="preserve"> </w:t>
      </w:r>
      <w:r w:rsidR="00A10924">
        <w:rPr>
          <w:iCs/>
          <w:sz w:val="20"/>
          <w:szCs w:val="20"/>
        </w:rPr>
        <w:t>47(7):821-829.</w:t>
      </w:r>
    </w:p>
    <w:p w:rsidR="00363F61" w:rsidRPr="00881EE3" w:rsidRDefault="00881EE3" w:rsidP="006F10C0">
      <w:pPr>
        <w:pStyle w:val="Default"/>
        <w:numPr>
          <w:ilvl w:val="0"/>
          <w:numId w:val="4"/>
        </w:numPr>
        <w:jc w:val="both"/>
        <w:rPr>
          <w:rFonts w:ascii="Tw Cen MT" w:hAnsi="Tw Cen MT"/>
          <w:b/>
          <w:bCs/>
          <w:sz w:val="20"/>
          <w:szCs w:val="20"/>
        </w:rPr>
      </w:pPr>
      <w:r w:rsidRPr="00881EE3">
        <w:rPr>
          <w:rFonts w:ascii="Tw Cen MT" w:hAnsi="Tw Cen MT"/>
          <w:b/>
          <w:bCs/>
          <w:sz w:val="20"/>
          <w:szCs w:val="20"/>
        </w:rPr>
        <w:t>Handsen Tibugari</w:t>
      </w:r>
      <w:r w:rsidRPr="00881EE3">
        <w:rPr>
          <w:rFonts w:ascii="Tw Cen MT" w:hAnsi="Tw Cen MT"/>
          <w:sz w:val="20"/>
          <w:szCs w:val="20"/>
        </w:rPr>
        <w:t xml:space="preserve">, Fortune Kaundura and Ronald Mandumbu (2013) </w:t>
      </w:r>
      <w:r w:rsidRPr="00881EE3">
        <w:rPr>
          <w:rFonts w:ascii="Tw Cen MT" w:hAnsi="Tw Cen MT"/>
          <w:i/>
          <w:iCs/>
          <w:sz w:val="20"/>
          <w:szCs w:val="20"/>
        </w:rPr>
        <w:t xml:space="preserve">Berchemia discolor </w:t>
      </w:r>
      <w:r w:rsidRPr="00881EE3">
        <w:rPr>
          <w:rFonts w:ascii="Tw Cen MT" w:hAnsi="Tw Cen MT"/>
          <w:sz w:val="20"/>
          <w:szCs w:val="20"/>
        </w:rPr>
        <w:t xml:space="preserve">response to different scarification methods. </w:t>
      </w:r>
      <w:r w:rsidRPr="00881EE3">
        <w:rPr>
          <w:rFonts w:ascii="Tw Cen MT" w:hAnsi="Tw Cen MT"/>
          <w:i/>
          <w:sz w:val="20"/>
          <w:szCs w:val="20"/>
        </w:rPr>
        <w:t xml:space="preserve">Journal of Agricultural Technology </w:t>
      </w:r>
      <w:r w:rsidRPr="00881EE3">
        <w:rPr>
          <w:rFonts w:ascii="Tw Cen MT" w:hAnsi="Tw Cen MT"/>
          <w:sz w:val="20"/>
          <w:szCs w:val="20"/>
        </w:rPr>
        <w:t>9(7):1927-1935</w:t>
      </w:r>
      <w:r>
        <w:rPr>
          <w:rFonts w:ascii="Tw Cen MT" w:hAnsi="Tw Cen MT"/>
          <w:sz w:val="20"/>
          <w:szCs w:val="20"/>
        </w:rPr>
        <w:t>.</w:t>
      </w:r>
    </w:p>
    <w:p w:rsidR="00DC69E7" w:rsidRPr="009C723B" w:rsidRDefault="00DC69E7" w:rsidP="00DC69E7">
      <w:pPr>
        <w:widowControl/>
        <w:numPr>
          <w:ilvl w:val="0"/>
          <w:numId w:val="4"/>
        </w:numPr>
        <w:autoSpaceDE w:val="0"/>
        <w:autoSpaceDN w:val="0"/>
        <w:adjustRightInd w:val="0"/>
        <w:jc w:val="both"/>
        <w:rPr>
          <w:b/>
          <w:bCs/>
          <w:sz w:val="20"/>
          <w:szCs w:val="20"/>
          <w:lang w:val="en-ZW"/>
        </w:rPr>
      </w:pPr>
      <w:r w:rsidRPr="009C723B">
        <w:rPr>
          <w:b/>
          <w:bCs/>
          <w:sz w:val="20"/>
          <w:szCs w:val="20"/>
          <w:lang w:val="en-ZW"/>
        </w:rPr>
        <w:t>H. Tibugari</w:t>
      </w:r>
      <w:r w:rsidRPr="009C723B">
        <w:rPr>
          <w:sz w:val="20"/>
          <w:szCs w:val="20"/>
          <w:lang w:val="en-ZW"/>
        </w:rPr>
        <w:t>, R. Mandumbu, P. Jowah and C. Karavina (2012) Farmer knowledge, attitude and practice on cotton (</w:t>
      </w:r>
      <w:r w:rsidRPr="009C723B">
        <w:rPr>
          <w:i/>
          <w:iCs/>
          <w:sz w:val="20"/>
          <w:szCs w:val="20"/>
          <w:lang w:val="en-ZW"/>
        </w:rPr>
        <w:t xml:space="preserve">Gossypium hirsutum </w:t>
      </w:r>
      <w:r w:rsidRPr="009C723B">
        <w:rPr>
          <w:sz w:val="20"/>
          <w:szCs w:val="20"/>
          <w:lang w:val="en-ZW"/>
        </w:rPr>
        <w:t xml:space="preserve">L.) pest resistance management strategies in Zimbabwe. </w:t>
      </w:r>
      <w:r w:rsidRPr="009C723B">
        <w:rPr>
          <w:i/>
          <w:iCs/>
          <w:sz w:val="20"/>
          <w:szCs w:val="20"/>
        </w:rPr>
        <w:t xml:space="preserve">Archives of Phytopathology and Plant Protection </w:t>
      </w:r>
      <w:r w:rsidRPr="009C723B">
        <w:rPr>
          <w:sz w:val="20"/>
          <w:szCs w:val="20"/>
        </w:rPr>
        <w:t>45(20) 2395-2405, DOI: 10.1080/03235408.2012.727327.</w:t>
      </w:r>
    </w:p>
    <w:p w:rsidR="00C5503B" w:rsidRPr="009C723B" w:rsidRDefault="00C5503B" w:rsidP="00C5503B">
      <w:pPr>
        <w:widowControl/>
        <w:numPr>
          <w:ilvl w:val="0"/>
          <w:numId w:val="4"/>
        </w:numPr>
        <w:autoSpaceDE w:val="0"/>
        <w:autoSpaceDN w:val="0"/>
        <w:adjustRightInd w:val="0"/>
        <w:jc w:val="both"/>
        <w:rPr>
          <w:b/>
          <w:bCs/>
          <w:sz w:val="20"/>
          <w:szCs w:val="20"/>
          <w:lang w:val="en-ZW"/>
        </w:rPr>
      </w:pPr>
      <w:r w:rsidRPr="009C723B">
        <w:rPr>
          <w:b/>
          <w:bCs/>
          <w:sz w:val="20"/>
          <w:szCs w:val="20"/>
          <w:lang w:val="en-ZW"/>
        </w:rPr>
        <w:t>H. Tibugari</w:t>
      </w:r>
      <w:r w:rsidRPr="009C723B">
        <w:rPr>
          <w:sz w:val="20"/>
          <w:szCs w:val="20"/>
          <w:lang w:val="en-ZW"/>
        </w:rPr>
        <w:t xml:space="preserve">, D. Mombeshora, R. Mandumbu, C. Karavina and C. Parwada (2012) A comparison of the effectiveness of the aqueous extracts of garlic, castor, beans and marigold in the biocontrol of root-knot nematode in tomato. </w:t>
      </w:r>
      <w:r w:rsidRPr="009C723B">
        <w:rPr>
          <w:i/>
          <w:iCs/>
          <w:sz w:val="20"/>
          <w:szCs w:val="20"/>
        </w:rPr>
        <w:t xml:space="preserve">Journal of Agricultural Technology </w:t>
      </w:r>
      <w:r w:rsidRPr="009C723B">
        <w:rPr>
          <w:sz w:val="20"/>
          <w:szCs w:val="20"/>
        </w:rPr>
        <w:t>8(2): 479-492.</w:t>
      </w:r>
    </w:p>
    <w:p w:rsidR="00AE3E37" w:rsidRPr="004674A7" w:rsidRDefault="00AE3E37" w:rsidP="004674A7">
      <w:pPr>
        <w:jc w:val="both"/>
        <w:rPr>
          <w:sz w:val="20"/>
          <w:szCs w:val="20"/>
        </w:rPr>
        <w:sectPr w:rsidR="00AE3E37" w:rsidRPr="004674A7">
          <w:type w:val="continuous"/>
          <w:pgSz w:w="11910" w:h="16840"/>
          <w:pgMar w:top="1740" w:right="600" w:bottom="840" w:left="620" w:header="720" w:footer="720" w:gutter="0"/>
          <w:cols w:num="2" w:space="720" w:equalWidth="0">
            <w:col w:w="5214" w:space="138"/>
            <w:col w:w="5338"/>
          </w:cols>
        </w:sectPr>
      </w:pPr>
    </w:p>
    <w:p w:rsidR="00AE3E37" w:rsidRPr="004674A7" w:rsidRDefault="00AE3E37" w:rsidP="004674A7">
      <w:pPr>
        <w:pStyle w:val="BodyText"/>
        <w:rPr>
          <w:sz w:val="20"/>
          <w:szCs w:val="20"/>
        </w:rPr>
      </w:pPr>
    </w:p>
    <w:p w:rsidR="00AE3E37" w:rsidRPr="004674A7" w:rsidRDefault="00292ED9" w:rsidP="004674A7">
      <w:pPr>
        <w:pStyle w:val="BodyText"/>
        <w:ind w:left="2202"/>
        <w:rPr>
          <w:sz w:val="20"/>
          <w:szCs w:val="20"/>
        </w:rPr>
      </w:pPr>
      <w:r w:rsidRPr="004674A7">
        <w:rPr>
          <w:noProof/>
          <w:sz w:val="20"/>
          <w:szCs w:val="20"/>
          <w:lang w:val="en-ZW" w:eastAsia="en-Z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29806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C5503B" w:rsidP="00C5503B">
      <w:pPr>
        <w:ind w:right="4234"/>
        <w:rPr>
          <w:rFonts w:ascii="Arial"/>
        </w:rPr>
      </w:pPr>
      <w:r>
        <w:rPr>
          <w:noProof/>
          <w:sz w:val="20"/>
          <w:szCs w:val="20"/>
        </w:rPr>
        <w:t xml:space="preserve">        </w:t>
      </w:r>
      <w:r w:rsidR="00AE3DD3">
        <w:rPr>
          <w:color w:val="BF5A14"/>
          <w:sz w:val="20"/>
          <w:szCs w:val="20"/>
        </w:rPr>
        <w:t>Biography</w:t>
      </w:r>
    </w:p>
    <w:p w:rsidR="002E547D" w:rsidRPr="004D6DF6" w:rsidRDefault="00136617" w:rsidP="00AE3DD3">
      <w:pPr>
        <w:tabs>
          <w:tab w:val="left" w:pos="9498"/>
          <w:tab w:val="left" w:pos="9639"/>
        </w:tabs>
        <w:ind w:left="426" w:right="909"/>
        <w:jc w:val="both"/>
        <w:rPr>
          <w:sz w:val="16"/>
          <w:szCs w:val="14"/>
        </w:rPr>
      </w:pPr>
      <w:r w:rsidRPr="004D6DF6">
        <w:rPr>
          <w:sz w:val="16"/>
        </w:rPr>
        <w:t>Handsen Tibugari holds in MSc in Crop Protection, and is due for graduation with a PhD at the University of Fort Hare in May 2010. He worked as a lecturer at the Women’s University in Africa</w:t>
      </w:r>
      <w:r w:rsidR="00A465BC" w:rsidRPr="004D6DF6">
        <w:rPr>
          <w:sz w:val="16"/>
        </w:rPr>
        <w:t xml:space="preserve"> (594 Arcturus Road, Manresa Park, Harare)</w:t>
      </w:r>
      <w:r w:rsidRPr="004D6DF6">
        <w:rPr>
          <w:sz w:val="16"/>
        </w:rPr>
        <w:t xml:space="preserve"> from August 2007 to August 2019. He joined Gwanda State University </w:t>
      </w:r>
      <w:r w:rsidR="00A465BC" w:rsidRPr="004D6DF6">
        <w:rPr>
          <w:sz w:val="16"/>
        </w:rPr>
        <w:t xml:space="preserve">(Epoch Mine Campus, P.O. Box 30, Filabusi) </w:t>
      </w:r>
      <w:r w:rsidRPr="004D6DF6">
        <w:rPr>
          <w:sz w:val="16"/>
        </w:rPr>
        <w:t xml:space="preserve">as a lecturer in September 2019. </w:t>
      </w:r>
      <w:r w:rsidR="00A465BC" w:rsidRPr="004D6DF6">
        <w:rPr>
          <w:sz w:val="16"/>
        </w:rPr>
        <w:t>He has published 15 research articles. He has presented more than 7 peer reviewed conference papers at international conferences. He was a</w:t>
      </w:r>
      <w:r w:rsidR="00A465BC" w:rsidRPr="004D6DF6">
        <w:rPr>
          <w:rStyle w:val="fontstyle01"/>
          <w:rFonts w:ascii="Tw Cen MT" w:hAnsi="Tw Cen MT" w:hint="default"/>
          <w:sz w:val="16"/>
          <w:szCs w:val="14"/>
        </w:rPr>
        <w:t>warded the African Capacity Building Foundation Research Grant to support</w:t>
      </w:r>
      <w:r w:rsidR="00A465BC" w:rsidRPr="004D6DF6">
        <w:rPr>
          <w:rStyle w:val="fontstyle01"/>
          <w:rFonts w:ascii="Tw Cen MT" w:hAnsi="Tw Cen MT" w:hint="default"/>
          <w:sz w:val="16"/>
          <w:szCs w:val="14"/>
        </w:rPr>
        <w:t xml:space="preserve"> </w:t>
      </w:r>
      <w:r w:rsidR="00A465BC" w:rsidRPr="004D6DF6">
        <w:rPr>
          <w:rStyle w:val="fontstyle01"/>
          <w:rFonts w:ascii="Tw Cen MT" w:hAnsi="Tw Cen MT" w:hint="default"/>
          <w:sz w:val="16"/>
          <w:szCs w:val="14"/>
        </w:rPr>
        <w:t>laboratory work for part of PhD study on sorgoleone quantification in sorghum</w:t>
      </w:r>
      <w:r w:rsidR="00A465BC" w:rsidRPr="004D6DF6">
        <w:rPr>
          <w:rStyle w:val="fontstyle01"/>
          <w:rFonts w:ascii="Tw Cen MT" w:hAnsi="Tw Cen MT" w:hint="default"/>
          <w:sz w:val="16"/>
          <w:szCs w:val="14"/>
        </w:rPr>
        <w:t xml:space="preserve"> </w:t>
      </w:r>
      <w:r w:rsidR="00A465BC" w:rsidRPr="004D6DF6">
        <w:rPr>
          <w:rStyle w:val="fontstyle01"/>
          <w:rFonts w:ascii="Tw Cen MT" w:hAnsi="Tw Cen MT" w:hint="default"/>
          <w:sz w:val="16"/>
          <w:szCs w:val="14"/>
        </w:rPr>
        <w:t>accessions from Africa.</w:t>
      </w:r>
      <w:r w:rsidR="00A465BC" w:rsidRPr="004D6DF6">
        <w:rPr>
          <w:rStyle w:val="fontstyle01"/>
          <w:rFonts w:ascii="Tw Cen MT" w:hAnsi="Tw Cen MT" w:hint="default"/>
          <w:sz w:val="16"/>
          <w:szCs w:val="14"/>
        </w:rPr>
        <w:t xml:space="preserve"> He was awarded </w:t>
      </w:r>
      <w:r w:rsidR="00A465BC" w:rsidRPr="004D6DF6">
        <w:rPr>
          <w:rStyle w:val="fontstyle01"/>
          <w:rFonts w:ascii="Tw Cen MT" w:hAnsi="Tw Cen MT" w:hint="default"/>
          <w:sz w:val="16"/>
          <w:szCs w:val="14"/>
        </w:rPr>
        <w:t>the Women’s University in Africa Vice Chancellor’s Award for Best</w:t>
      </w:r>
      <w:r w:rsidR="00A465BC" w:rsidRPr="004D6DF6">
        <w:rPr>
          <w:rStyle w:val="fontstyle01"/>
          <w:rFonts w:ascii="Tw Cen MT" w:hAnsi="Tw Cen MT" w:hint="default"/>
          <w:sz w:val="16"/>
          <w:szCs w:val="14"/>
        </w:rPr>
        <w:t xml:space="preserve"> </w:t>
      </w:r>
      <w:r w:rsidR="00A465BC" w:rsidRPr="004D6DF6">
        <w:rPr>
          <w:rStyle w:val="fontstyle01"/>
          <w:rFonts w:ascii="Tw Cen MT" w:hAnsi="Tw Cen MT" w:hint="default"/>
          <w:sz w:val="16"/>
          <w:szCs w:val="14"/>
        </w:rPr>
        <w:t>Lecturer in Research in 2014.</w:t>
      </w:r>
      <w:r w:rsidR="00A465BC" w:rsidRPr="004D6DF6">
        <w:rPr>
          <w:rStyle w:val="fontstyle01"/>
          <w:rFonts w:ascii="Tw Cen MT" w:hAnsi="Tw Cen MT" w:hint="default"/>
          <w:sz w:val="16"/>
          <w:szCs w:val="14"/>
        </w:rPr>
        <w:t xml:space="preserve"> He was also awarded the </w:t>
      </w:r>
      <w:r w:rsidR="00A465BC" w:rsidRPr="004D6DF6">
        <w:rPr>
          <w:rStyle w:val="fontstyle01"/>
          <w:rFonts w:ascii="Tw Cen MT" w:hAnsi="Tw Cen MT" w:hint="default"/>
          <w:sz w:val="16"/>
          <w:szCs w:val="14"/>
        </w:rPr>
        <w:t>Women’s University in Africa Vice Chancellor’s Award for Best</w:t>
      </w:r>
      <w:r w:rsidR="00A465BC" w:rsidRPr="004D6DF6">
        <w:rPr>
          <w:rStyle w:val="fontstyle01"/>
          <w:rFonts w:ascii="Tw Cen MT" w:hAnsi="Tw Cen MT" w:hint="default"/>
          <w:sz w:val="16"/>
          <w:szCs w:val="14"/>
        </w:rPr>
        <w:t xml:space="preserve"> </w:t>
      </w:r>
      <w:r w:rsidR="00A465BC" w:rsidRPr="004D6DF6">
        <w:rPr>
          <w:rStyle w:val="fontstyle01"/>
          <w:rFonts w:ascii="Tw Cen MT" w:hAnsi="Tw Cen MT" w:hint="default"/>
          <w:sz w:val="16"/>
          <w:szCs w:val="14"/>
        </w:rPr>
        <w:t>Lecturer in Teaching in 2017.</w:t>
      </w:r>
      <w:r w:rsidR="00A465BC" w:rsidRPr="004D6DF6">
        <w:rPr>
          <w:sz w:val="16"/>
          <w:szCs w:val="14"/>
        </w:rPr>
        <w:t xml:space="preserve"> </w:t>
      </w:r>
    </w:p>
    <w:p w:rsidR="00AE3E37" w:rsidRDefault="003F175B" w:rsidP="00AE3DD3">
      <w:pPr>
        <w:spacing w:before="62"/>
        <w:ind w:right="2752"/>
        <w:jc w:val="center"/>
        <w:rPr>
          <w:rFonts w:ascii="Minion Pro"/>
          <w:sz w:val="24"/>
        </w:rPr>
        <w:sectPr w:rsidR="00AE3E37">
          <w:type w:val="continuous"/>
          <w:pgSz w:w="11910" w:h="16840"/>
          <w:pgMar w:top="1740" w:right="600" w:bottom="840" w:left="620" w:header="720" w:footer="720" w:gutter="0"/>
          <w:cols w:space="720"/>
        </w:sectPr>
      </w:pPr>
      <w:r w:rsidRPr="00A465BC">
        <w:rPr>
          <w:rFonts w:ascii="Arial"/>
          <w:sz w:val="14"/>
          <w:szCs w:val="14"/>
        </w:rPr>
        <w:t xml:space="preserve">                                                                                </w:t>
      </w:r>
      <w:r w:rsidR="00A9710C" w:rsidRPr="00A465BC">
        <w:rPr>
          <w:rFonts w:ascii="Arial"/>
          <w:sz w:val="14"/>
          <w:szCs w:val="14"/>
        </w:rPr>
        <w:t xml:space="preserve">Email: </w:t>
      </w:r>
      <w:r w:rsidR="00A465BC">
        <w:rPr>
          <w:rFonts w:ascii="Arial"/>
          <w:sz w:val="14"/>
          <w:szCs w:val="14"/>
        </w:rPr>
        <w:t>handsen.tibugari@gsu.ac.zw</w:t>
      </w:r>
      <w:r w:rsidRPr="00A465BC">
        <w:rPr>
          <w:rStyle w:val="Hyperlink"/>
          <w:rFonts w:ascii="Arial"/>
          <w:sz w:val="14"/>
          <w:szCs w:val="14"/>
          <w:u w:val="none"/>
        </w:rPr>
        <w:t xml:space="preserve">    </w:t>
      </w:r>
      <w:r w:rsidRPr="00A465BC">
        <w:rPr>
          <w:rStyle w:val="Hyperlink"/>
          <w:rFonts w:ascii="Arial"/>
          <w:color w:val="auto"/>
          <w:sz w:val="14"/>
          <w:szCs w:val="14"/>
          <w:u w:val="none"/>
        </w:rPr>
        <w:t>Contact No</w:t>
      </w:r>
      <w:r w:rsidRPr="00A465BC">
        <w:rPr>
          <w:rStyle w:val="Hyperlink"/>
          <w:rFonts w:ascii="Arial"/>
          <w:sz w:val="14"/>
          <w:szCs w:val="14"/>
          <w:u w:val="none"/>
        </w:rPr>
        <w:t>:</w:t>
      </w:r>
      <w:r w:rsidR="00A465BC">
        <w:rPr>
          <w:rStyle w:val="Hyperlink"/>
          <w:rFonts w:ascii="Arial"/>
          <w:sz w:val="14"/>
          <w:szCs w:val="14"/>
          <w:u w:val="none"/>
        </w:rPr>
        <w:t xml:space="preserve"> +263 777 45</w:t>
      </w:r>
      <w:r w:rsidR="00AE3DD3">
        <w:rPr>
          <w:rStyle w:val="Hyperlink"/>
          <w:rFonts w:ascii="Arial"/>
          <w:sz w:val="14"/>
          <w:szCs w:val="14"/>
          <w:u w:val="none"/>
        </w:rPr>
        <w:t>222</w:t>
      </w:r>
      <w:r w:rsidR="00292ED9" w:rsidRPr="00A465BC">
        <w:rPr>
          <w:noProof/>
          <w:sz w:val="14"/>
          <w:szCs w:val="14"/>
          <w:lang w:val="en-ZW" w:eastAsia="en-ZW"/>
        </w:rPr>
        <mc:AlternateContent>
          <mc:Choice Requires="wps">
            <w:drawing>
              <wp:anchor distT="0" distB="0" distL="0" distR="0" simplePos="0" relativeHeight="25166131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C0EB4"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AE3DD3">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82B" w:rsidRDefault="006B782B">
      <w:r>
        <w:separator/>
      </w:r>
    </w:p>
  </w:endnote>
  <w:endnote w:type="continuationSeparator" w:id="0">
    <w:p w:rsidR="006B782B" w:rsidRDefault="006B7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TimesNewRomanPS-BoldMT">
    <w:altName w:val="Times New Roman"/>
    <w:panose1 w:val="00000000000000000000"/>
    <w:charset w:val="00"/>
    <w:family w:val="roman"/>
    <w:notTrueType/>
    <w:pitch w:val="default"/>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W" w:eastAsia="en-Z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82B" w:rsidRDefault="006B782B">
      <w:r>
        <w:separator/>
      </w:r>
    </w:p>
  </w:footnote>
  <w:footnote w:type="continuationSeparator" w:id="0">
    <w:p w:rsidR="006B782B" w:rsidRDefault="006B7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W" w:eastAsia="en-Z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0DC0437"/>
    <w:multiLevelType w:val="hybridMultilevel"/>
    <w:tmpl w:val="1E4E0CCC"/>
    <w:lvl w:ilvl="0" w:tplc="6960DF28">
      <w:start w:val="1"/>
      <w:numFmt w:val="decimal"/>
      <w:lvlText w:val="%1."/>
      <w:lvlJc w:val="left"/>
      <w:pPr>
        <w:ind w:left="720" w:hanging="360"/>
      </w:pPr>
      <w:rPr>
        <w:rFonts w:eastAsia="Calibri" w:hint="default"/>
        <w:b w:val="0"/>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32E1"/>
    <w:rsid w:val="001263DF"/>
    <w:rsid w:val="00136617"/>
    <w:rsid w:val="00292ED9"/>
    <w:rsid w:val="002E547D"/>
    <w:rsid w:val="00363F61"/>
    <w:rsid w:val="00364417"/>
    <w:rsid w:val="003A58CD"/>
    <w:rsid w:val="003F175B"/>
    <w:rsid w:val="00404E5B"/>
    <w:rsid w:val="00414F7B"/>
    <w:rsid w:val="004355DC"/>
    <w:rsid w:val="004674A7"/>
    <w:rsid w:val="004749B4"/>
    <w:rsid w:val="00494130"/>
    <w:rsid w:val="004D6DF6"/>
    <w:rsid w:val="004F3523"/>
    <w:rsid w:val="00503029"/>
    <w:rsid w:val="005655EB"/>
    <w:rsid w:val="005973B9"/>
    <w:rsid w:val="005B3A56"/>
    <w:rsid w:val="006060CE"/>
    <w:rsid w:val="0063497F"/>
    <w:rsid w:val="00685A71"/>
    <w:rsid w:val="006B782B"/>
    <w:rsid w:val="00711018"/>
    <w:rsid w:val="00782212"/>
    <w:rsid w:val="008221BB"/>
    <w:rsid w:val="00873DF0"/>
    <w:rsid w:val="008756E6"/>
    <w:rsid w:val="00881EE3"/>
    <w:rsid w:val="009B2D44"/>
    <w:rsid w:val="00A07E82"/>
    <w:rsid w:val="00A10924"/>
    <w:rsid w:val="00A465BC"/>
    <w:rsid w:val="00A9710C"/>
    <w:rsid w:val="00AE3215"/>
    <w:rsid w:val="00AE3DD3"/>
    <w:rsid w:val="00AE3E37"/>
    <w:rsid w:val="00B21A57"/>
    <w:rsid w:val="00C33602"/>
    <w:rsid w:val="00C5503B"/>
    <w:rsid w:val="00CA288B"/>
    <w:rsid w:val="00CD6F55"/>
    <w:rsid w:val="00D442AE"/>
    <w:rsid w:val="00DC5EBA"/>
    <w:rsid w:val="00DC69E7"/>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26235"/>
  <w15:docId w15:val="{87960F85-F540-4371-A8FE-857818E2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4674A7"/>
    <w:pPr>
      <w:widowControl/>
      <w:autoSpaceDE w:val="0"/>
      <w:autoSpaceDN w:val="0"/>
      <w:adjustRightInd w:val="0"/>
    </w:pPr>
    <w:rPr>
      <w:rFonts w:ascii="Times New Roman" w:eastAsia="Calibri" w:hAnsi="Times New Roman" w:cs="Times New Roman"/>
      <w:color w:val="000000"/>
      <w:sz w:val="24"/>
      <w:szCs w:val="24"/>
      <w:lang w:val="en-ZW"/>
    </w:rPr>
  </w:style>
  <w:style w:type="character" w:customStyle="1" w:styleId="fontstyle01">
    <w:name w:val="fontstyle01"/>
    <w:basedOn w:val="DefaultParagraphFont"/>
    <w:rsid w:val="00A465BC"/>
    <w:rPr>
      <w:rFonts w:ascii="TimesNewRomanPSMT" w:eastAsia="TimesNewRomanPSMT" w:hAnsi="TimesNewRomanPSMT" w:hint="eastAsia"/>
      <w:b w:val="0"/>
      <w:bCs w:val="0"/>
      <w:i w:val="0"/>
      <w:iCs w:val="0"/>
      <w:color w:val="000000"/>
      <w:sz w:val="24"/>
      <w:szCs w:val="24"/>
    </w:rPr>
  </w:style>
  <w:style w:type="character" w:customStyle="1" w:styleId="fontstyle21">
    <w:name w:val="fontstyle21"/>
    <w:basedOn w:val="DefaultParagraphFont"/>
    <w:rsid w:val="00A465BC"/>
    <w:rPr>
      <w:rFonts w:ascii="TimesNewRomanPS-BoldMT" w:hAnsi="TimesNewRomanPS-BoldMT" w:hint="default"/>
      <w:b/>
      <w:bCs/>
      <w:i w:val="0"/>
      <w:iCs w:val="0"/>
      <w:color w:val="000000"/>
      <w:sz w:val="24"/>
      <w:szCs w:val="24"/>
    </w:rPr>
  </w:style>
  <w:style w:type="character" w:customStyle="1" w:styleId="Heading1Char">
    <w:name w:val="Heading 1 Char"/>
    <w:link w:val="Heading1"/>
    <w:uiPriority w:val="1"/>
    <w:rsid w:val="003A58CD"/>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gti9o</cp:lastModifiedBy>
  <cp:revision>3</cp:revision>
  <dcterms:created xsi:type="dcterms:W3CDTF">2019-10-20T09:08:00Z</dcterms:created>
  <dcterms:modified xsi:type="dcterms:W3CDTF">2019-10-20T09:09:00Z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