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70"/>
        <w:ind w:left="0"/>
        <w:rPr>
          <w:rFonts w:hint="eastAsia"/>
          <w:color w:val="337AB7"/>
        </w:rPr>
      </w:pPr>
      <w:r>
        <w:rPr>
          <w:rFonts w:hint="eastAsia"/>
          <w:color w:val="337AB7"/>
        </w:rPr>
        <w:t>RNA-Seq analysis differentially expressed genes in purple pakchoi (</w:t>
      </w:r>
      <w:bookmarkStart w:id="0" w:name="OLE_LINK6"/>
      <w:bookmarkStart w:id="1" w:name="OLE_LINK5"/>
      <w:r>
        <w:rPr>
          <w:rFonts w:hint="eastAsia"/>
          <w:i/>
          <w:iCs/>
          <w:color w:val="337AB7"/>
        </w:rPr>
        <w:t>Brassica campestris</w:t>
      </w:r>
      <w:r>
        <w:rPr>
          <w:rFonts w:hint="eastAsia"/>
          <w:color w:val="337AB7"/>
        </w:rPr>
        <w:t xml:space="preserve"> ssp. </w:t>
      </w:r>
      <w:r>
        <w:rPr>
          <w:rFonts w:hint="eastAsia" w:eastAsia="宋体"/>
          <w:color w:val="337AB7"/>
          <w:lang w:val="en-US" w:eastAsia="zh-CN"/>
        </w:rPr>
        <w:t>c</w:t>
      </w:r>
      <w:r>
        <w:rPr>
          <w:rFonts w:hint="eastAsia"/>
          <w:i/>
          <w:iCs/>
          <w:color w:val="337AB7"/>
        </w:rPr>
        <w:t>hinensis</w:t>
      </w:r>
      <w:r>
        <w:rPr>
          <w:rFonts w:hint="eastAsia"/>
          <w:color w:val="337AB7"/>
        </w:rPr>
        <w:t xml:space="preserve"> Makino.</w:t>
      </w:r>
      <w:bookmarkEnd w:id="0"/>
      <w:bookmarkEnd w:id="1"/>
      <w:r>
        <w:rPr>
          <w:rFonts w:hint="eastAsia"/>
          <w:color w:val="337AB7"/>
        </w:rPr>
        <w:t xml:space="preserve">) under low temperature </w:t>
      </w:r>
    </w:p>
    <w:p>
      <w:pPr>
        <w:spacing w:line="281" w:lineRule="auto"/>
        <w:jc w:val="left"/>
        <w:rPr>
          <w:rFonts w:ascii="Arial" w:hAnsi="Tw Cen MT" w:eastAsia="Tw Cen MT" w:cs="Tw Cen MT"/>
          <w:kern w:val="0"/>
          <w:sz w:val="18"/>
          <w:szCs w:val="18"/>
          <w:lang w:eastAsia="en-US"/>
        </w:rPr>
      </w:pPr>
      <w:r>
        <w:rPr>
          <w:rFonts w:hint="eastAsia" w:ascii="Arial" w:hAnsi="Tw Cen MT" w:cs="Tw Cen MT"/>
          <w:kern w:val="0"/>
          <w:sz w:val="18"/>
          <w:szCs w:val="18"/>
          <w:lang w:val="en-US" w:eastAsia="zh-CN"/>
        </w:rPr>
        <w:t>Yuying ZHU</w:t>
      </w:r>
      <w:r>
        <w:rPr>
          <w:rFonts w:hint="eastAsia" w:ascii="Arial" w:hAnsi="Tw Cen MT" w:eastAsia="Tw Cen MT" w:cs="Tw Cen MT"/>
          <w:kern w:val="0"/>
          <w:sz w:val="18"/>
          <w:szCs w:val="18"/>
          <w:lang w:eastAsia="en-US"/>
        </w:rPr>
        <w:t xml:space="preserve">, Professor, </w:t>
      </w:r>
      <w:r>
        <w:rPr>
          <w:rFonts w:ascii="Arial" w:hAnsi="Tw Cen MT" w:eastAsia="Tw Cen MT" w:cs="Tw Cen MT"/>
          <w:kern w:val="0"/>
          <w:sz w:val="18"/>
          <w:szCs w:val="18"/>
          <w:lang w:eastAsia="en-US"/>
        </w:rPr>
        <w:t>Shanghai Academy of Agricultural Sciences</w:t>
      </w:r>
      <w:r>
        <w:rPr>
          <w:rFonts w:hint="eastAsia" w:ascii="Arial" w:hAnsi="Tw Cen MT" w:eastAsia="Tw Cen MT" w:cs="Tw Cen MT"/>
          <w:kern w:val="0"/>
          <w:sz w:val="18"/>
          <w:szCs w:val="18"/>
          <w:lang w:eastAsia="en-US"/>
        </w:rPr>
        <w:t>, China</w:t>
      </w:r>
    </w:p>
    <w:p>
      <w:pPr>
        <w:spacing w:line="281" w:lineRule="auto"/>
        <w:jc w:val="left"/>
        <w:rPr>
          <w:rFonts w:ascii="Arial" w:hAnsi="Tw Cen MT" w:eastAsia="Tw Cen MT" w:cs="Tw Cen MT"/>
          <w:kern w:val="0"/>
          <w:sz w:val="18"/>
          <w:szCs w:val="18"/>
          <w:lang w:eastAsia="en-US"/>
        </w:rPr>
      </w:pPr>
      <w:r>
        <w:rPr>
          <w:rFonts w:hint="eastAsia" w:ascii="Arial" w:hAnsi="Tw Cen MT" w:cs="Tw Cen MT"/>
          <w:kern w:val="0"/>
          <w:sz w:val="18"/>
          <w:szCs w:val="18"/>
          <w:lang w:val="en-US" w:eastAsia="zh-CN"/>
        </w:rPr>
        <w:t>Hongfang ZHU</w:t>
      </w:r>
      <w:r>
        <w:rPr>
          <w:rFonts w:hint="eastAsia" w:ascii="Arial" w:hAnsi="Tw Cen MT" w:eastAsia="Tw Cen MT" w:cs="Tw Cen MT"/>
          <w:kern w:val="0"/>
          <w:sz w:val="18"/>
          <w:szCs w:val="18"/>
          <w:lang w:eastAsia="en-US"/>
        </w:rPr>
        <w:t xml:space="preserve">，Associate Professor, </w:t>
      </w:r>
      <w:r>
        <w:rPr>
          <w:rFonts w:ascii="Arial" w:hAnsi="Tw Cen MT" w:eastAsia="Tw Cen MT" w:cs="Tw Cen MT"/>
          <w:kern w:val="0"/>
          <w:sz w:val="18"/>
          <w:szCs w:val="18"/>
          <w:lang w:eastAsia="en-US"/>
        </w:rPr>
        <w:t>Shanghai Academy of Agricultural Sciences</w:t>
      </w:r>
      <w:r>
        <w:rPr>
          <w:rFonts w:hint="eastAsia" w:ascii="Arial" w:hAnsi="Tw Cen MT" w:eastAsia="Tw Cen MT" w:cs="Tw Cen MT"/>
          <w:kern w:val="0"/>
          <w:sz w:val="18"/>
          <w:szCs w:val="18"/>
          <w:lang w:eastAsia="en-US"/>
        </w:rPr>
        <w:t>, China</w:t>
      </w:r>
    </w:p>
    <w:p>
      <w:pPr>
        <w:rPr>
          <w:color w:val="BF5A14"/>
        </w:rPr>
      </w:pPr>
      <w:r>
        <w:rPr>
          <w:rFonts w:hint="eastAsia"/>
          <w:color w:val="BF5A14"/>
        </w:rPr>
        <w:t>A</w:t>
      </w:r>
      <w:r>
        <w:rPr>
          <w:color w:val="BF5A14"/>
        </w:rPr>
        <w:t>bstract</w:t>
      </w:r>
      <w:r>
        <w:rPr>
          <w:rFonts w:hint="eastAsia"/>
          <w:color w:val="BF5A14"/>
        </w:rPr>
        <w:t>：</w:t>
      </w:r>
    </w:p>
    <w:p>
      <w:pPr>
        <w:autoSpaceDE w:val="0"/>
        <w:autoSpaceDN w:val="0"/>
        <w:adjustRightInd w:val="0"/>
        <w:spacing w:line="240" w:lineRule="auto"/>
        <w:ind w:firstLine="420" w:firstLineChars="200"/>
        <w:rPr>
          <w:rFonts w:ascii="Times New Roman" w:hAnsi="Times New Roman" w:eastAsia="AdvOT5e4d79fc" w:cs="Times New Roman"/>
          <w:kern w:val="0"/>
          <w:sz w:val="21"/>
          <w:szCs w:val="21"/>
        </w:rPr>
      </w:pPr>
      <w:r>
        <w:rPr>
          <w:rFonts w:ascii="Times New Roman" w:hAnsi="Times New Roman" w:eastAsia="AdvOT5e4d79fc" w:cs="Times New Roman"/>
          <w:kern w:val="0"/>
          <w:sz w:val="21"/>
          <w:szCs w:val="21"/>
          <w:highlight w:val="none"/>
        </w:rPr>
        <w:t>Low temperature is the main environmental factor that affect anthocyanin biosynthesis and accumulation in purple pakchoi, which is one of the most popular vegetables in China with high anthocyanin content.</w:t>
      </w:r>
      <w:r>
        <w:rPr>
          <w:rFonts w:hint="eastAsia" w:ascii="Times New Roman" w:hAnsi="Times New Roman" w:eastAsia="AdvOT5e4d79fc" w:cs="Times New Roman"/>
          <w:kern w:val="0"/>
          <w:sz w:val="21"/>
          <w:szCs w:val="21"/>
        </w:rPr>
        <w:t xml:space="preserve"> </w:t>
      </w:r>
      <w:r>
        <w:rPr>
          <w:rFonts w:ascii="Times New Roman" w:hAnsi="Times New Roman" w:eastAsia="AdvOT5e4d79fc" w:cs="Times New Roman"/>
          <w:kern w:val="0"/>
          <w:sz w:val="21"/>
          <w:szCs w:val="21"/>
        </w:rPr>
        <w:t xml:space="preserve">In the present study, the transcriptome profiles of the </w:t>
      </w:r>
      <w:r>
        <w:rPr>
          <w:rFonts w:hint="eastAsia" w:ascii="Times New Roman" w:hAnsi="Times New Roman" w:eastAsia="AdvOT5e4d79fc" w:cs="Times New Roman"/>
          <w:kern w:val="0"/>
          <w:sz w:val="21"/>
          <w:szCs w:val="21"/>
        </w:rPr>
        <w:t>purple p</w:t>
      </w:r>
      <w:r>
        <w:rPr>
          <w:rFonts w:ascii="Times New Roman" w:hAnsi="Times New Roman" w:eastAsia="AdvOT5e4d79fc" w:cs="Times New Roman"/>
          <w:kern w:val="0"/>
          <w:sz w:val="21"/>
          <w:szCs w:val="21"/>
        </w:rPr>
        <w:t>akchoi</w:t>
      </w:r>
      <w:r>
        <w:rPr>
          <w:rFonts w:hint="eastAsia" w:ascii="Times New Roman" w:hAnsi="Times New Roman" w:eastAsia="AdvOT5e4d79fc" w:cs="Times New Roman"/>
          <w:kern w:val="0"/>
          <w:sz w:val="21"/>
          <w:szCs w:val="21"/>
        </w:rPr>
        <w:t xml:space="preserve"> </w:t>
      </w:r>
      <w:r>
        <w:rPr>
          <w:rFonts w:ascii="Times New Roman" w:hAnsi="Times New Roman" w:eastAsia="AdvOT5e4d79fc" w:cs="Times New Roman"/>
          <w:kern w:val="0"/>
          <w:sz w:val="21"/>
          <w:szCs w:val="21"/>
        </w:rPr>
        <w:t>cultivar</w:t>
      </w:r>
      <w:r>
        <w:rPr>
          <w:rFonts w:hint="eastAsia" w:ascii="Times New Roman" w:hAnsi="Times New Roman" w:eastAsia="AdvOT5e4d79fc" w:cs="Times New Roman"/>
          <w:kern w:val="0"/>
          <w:sz w:val="21"/>
          <w:szCs w:val="21"/>
        </w:rPr>
        <w:t xml:space="preserve"> "ziyi"</w:t>
      </w:r>
      <w:r>
        <w:rPr>
          <w:rFonts w:ascii="Times New Roman" w:hAnsi="Times New Roman" w:eastAsia="AdvOT5e4d79fc" w:cs="Times New Roman"/>
          <w:kern w:val="0"/>
          <w:sz w:val="21"/>
          <w:szCs w:val="21"/>
        </w:rPr>
        <w:t>, which</w:t>
      </w:r>
      <w:r>
        <w:rPr>
          <w:rFonts w:hint="eastAsia" w:ascii="Times New Roman" w:hAnsi="Times New Roman" w:eastAsia="AdvOT5e4d79fc" w:cs="Times New Roman"/>
          <w:kern w:val="0"/>
          <w:sz w:val="21"/>
          <w:szCs w:val="21"/>
        </w:rPr>
        <w:t xml:space="preserve"> </w:t>
      </w:r>
      <w:r>
        <w:rPr>
          <w:rFonts w:ascii="Times New Roman" w:hAnsi="Times New Roman" w:eastAsia="AdvOT5e4d79fc" w:cs="Times New Roman"/>
          <w:sz w:val="21"/>
          <w:szCs w:val="21"/>
        </w:rPr>
        <w:t>maintained at 5</w:t>
      </w:r>
      <w:r>
        <w:rPr>
          <w:rFonts w:ascii="Lucida Grande" w:hAnsi="Lucida Grande" w:cs="Lucida Grande"/>
          <w:color w:val="000000"/>
          <w:sz w:val="21"/>
          <w:szCs w:val="21"/>
        </w:rPr>
        <w:t>°</w:t>
      </w:r>
      <w:r>
        <w:rPr>
          <w:rFonts w:ascii="Times New Roman" w:hAnsi="Times New Roman" w:cs="Times New Roman"/>
          <w:color w:val="000000"/>
          <w:sz w:val="21"/>
          <w:szCs w:val="21"/>
        </w:rPr>
        <w:t>C</w:t>
      </w:r>
      <w:r>
        <w:rPr>
          <w:rFonts w:hint="eastAsia" w:ascii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eastAsia="AdvOT5e4d79fc" w:cs="Times New Roman"/>
          <w:sz w:val="21"/>
          <w:szCs w:val="21"/>
        </w:rPr>
        <w:t>(low temperature, LT)</w:t>
      </w:r>
      <w:r>
        <w:rPr>
          <w:rFonts w:hint="eastAsia" w:ascii="Times New Roman" w:hAnsi="Times New Roman" w:eastAsia="AdvOT5e4d79fc" w:cs="Times New Roman"/>
          <w:sz w:val="21"/>
          <w:szCs w:val="21"/>
        </w:rPr>
        <w:t xml:space="preserve"> </w:t>
      </w:r>
      <w:r>
        <w:rPr>
          <w:rFonts w:ascii="Times New Roman" w:hAnsi="Times New Roman" w:eastAsia="AdvOT5e4d79fc" w:cs="Times New Roman"/>
          <w:sz w:val="21"/>
          <w:szCs w:val="21"/>
        </w:rPr>
        <w:t>and 20</w:t>
      </w:r>
      <w:r>
        <w:rPr>
          <w:rFonts w:ascii="Lucida Grande" w:hAnsi="Lucida Grande" w:cs="Lucida Grande"/>
          <w:color w:val="000000"/>
          <w:sz w:val="21"/>
          <w:szCs w:val="21"/>
        </w:rPr>
        <w:t>°</w:t>
      </w:r>
      <w:r>
        <w:rPr>
          <w:rFonts w:ascii="Times New Roman" w:hAnsi="Times New Roman" w:cs="Times New Roman"/>
          <w:color w:val="000000"/>
          <w:sz w:val="21"/>
          <w:szCs w:val="21"/>
        </w:rPr>
        <w:t>C</w:t>
      </w:r>
      <w:r>
        <w:rPr>
          <w:rFonts w:hint="eastAsia" w:ascii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eastAsia="AdvOT5e4d79fc" w:cs="Times New Roman"/>
          <w:sz w:val="21"/>
          <w:szCs w:val="21"/>
        </w:rPr>
        <w:t>(normal temperature, NT)</w:t>
      </w:r>
      <w:r>
        <w:rPr>
          <w:rFonts w:hint="eastAsia" w:ascii="Times New Roman" w:hAnsi="Times New Roman" w:eastAsia="AdvOT5e4d79fc" w:cs="Times New Roman"/>
          <w:sz w:val="21"/>
          <w:szCs w:val="21"/>
        </w:rPr>
        <w:t xml:space="preserve"> </w:t>
      </w:r>
      <w:r>
        <w:rPr>
          <w:rFonts w:ascii="Times New Roman" w:hAnsi="Times New Roman" w:eastAsia="AdvOT5e4d79fc" w:cs="Times New Roman"/>
          <w:sz w:val="21"/>
          <w:szCs w:val="21"/>
        </w:rPr>
        <w:t>for 10</w:t>
      </w:r>
      <w:r>
        <w:rPr>
          <w:rFonts w:hint="eastAsia" w:ascii="Times New Roman" w:hAnsi="Times New Roman" w:eastAsia="AdvOT5e4d79fc" w:cs="Times New Roman"/>
          <w:sz w:val="21"/>
          <w:szCs w:val="21"/>
        </w:rPr>
        <w:t xml:space="preserve"> </w:t>
      </w:r>
      <w:r>
        <w:rPr>
          <w:rFonts w:ascii="Times New Roman" w:hAnsi="Times New Roman" w:eastAsia="AdvOT5e4d79fc" w:cs="Times New Roman"/>
          <w:sz w:val="21"/>
          <w:szCs w:val="21"/>
        </w:rPr>
        <w:t>d,</w:t>
      </w:r>
      <w:r>
        <w:rPr>
          <w:rFonts w:hint="eastAsia" w:ascii="Times New Roman" w:hAnsi="Times New Roman" w:eastAsia="AdvOT5e4d79fc" w:cs="Times New Roman"/>
          <w:sz w:val="21"/>
          <w:szCs w:val="21"/>
        </w:rPr>
        <w:t xml:space="preserve"> </w:t>
      </w:r>
      <w:r>
        <w:rPr>
          <w:rFonts w:ascii="Times New Roman" w:hAnsi="Times New Roman" w:eastAsia="AdvOT5e4d79fc" w:cs="Times New Roman"/>
          <w:kern w:val="0"/>
          <w:sz w:val="21"/>
          <w:szCs w:val="21"/>
        </w:rPr>
        <w:t>were analyzed using Illumina paired-end</w:t>
      </w:r>
      <w:r>
        <w:rPr>
          <w:rFonts w:ascii="Times New Roman" w:hAnsi="Times New Roman" w:eastAsia="AdvOT5e4d79fc" w:cs="Times New Roman"/>
          <w:sz w:val="21"/>
          <w:szCs w:val="21"/>
        </w:rPr>
        <w:t>sequencing technology</w:t>
      </w:r>
      <w:r>
        <w:rPr>
          <w:rFonts w:ascii="Times New Roman" w:hAnsi="Times New Roman" w:eastAsia="AdvOT5e4d79fc" w:cs="Times New Roman"/>
          <w:kern w:val="0"/>
          <w:sz w:val="21"/>
          <w:szCs w:val="21"/>
        </w:rPr>
        <w:t xml:space="preserve"> in order to reveal mechanisms associated with </w:t>
      </w:r>
      <w:r>
        <w:rPr>
          <w:rFonts w:ascii="Times New Roman" w:hAnsi="Times New Roman" w:eastAsia="AdvOT5e4d79fc" w:cs="Times New Roman"/>
          <w:sz w:val="21"/>
          <w:szCs w:val="21"/>
        </w:rPr>
        <w:t>anthocyanin</w:t>
      </w:r>
      <w:r>
        <w:rPr>
          <w:rFonts w:hint="eastAsia" w:ascii="Times New Roman" w:hAnsi="Times New Roman" w:eastAsia="AdvOT5e4d79fc" w:cs="Times New Roman"/>
          <w:sz w:val="21"/>
          <w:szCs w:val="21"/>
        </w:rPr>
        <w:t xml:space="preserve"> biosynthesis</w:t>
      </w:r>
      <w:r>
        <w:rPr>
          <w:rFonts w:ascii="Times New Roman" w:hAnsi="Times New Roman" w:eastAsia="AdvOT5e4d79fc" w:cs="Times New Roman"/>
          <w:sz w:val="21"/>
          <w:szCs w:val="21"/>
        </w:rPr>
        <w:t xml:space="preserve"> and accumulaiton</w:t>
      </w:r>
      <w:r>
        <w:rPr>
          <w:rFonts w:hint="eastAsia" w:ascii="Times New Roman" w:hAnsi="Times New Roman" w:eastAsia="AdvOT5e4d79fc" w:cs="Times New Roman"/>
          <w:sz w:val="21"/>
          <w:szCs w:val="21"/>
        </w:rPr>
        <w:t xml:space="preserve"> at low </w:t>
      </w:r>
      <w:r>
        <w:rPr>
          <w:rFonts w:ascii="Times New Roman" w:hAnsi="Times New Roman" w:eastAsia="AdvOT5e4d79fc" w:cs="Times New Roman"/>
          <w:sz w:val="21"/>
          <w:szCs w:val="21"/>
        </w:rPr>
        <w:t>temperatures</w:t>
      </w:r>
      <w:r>
        <w:rPr>
          <w:rFonts w:ascii="Times New Roman" w:hAnsi="Times New Roman" w:eastAsia="AdvOT5e4d79fc" w:cs="Times New Roman"/>
          <w:kern w:val="0"/>
          <w:sz w:val="21"/>
          <w:szCs w:val="21"/>
        </w:rPr>
        <w:t>.</w:t>
      </w:r>
      <w:r>
        <w:rPr>
          <w:rFonts w:hint="eastAsia" w:ascii="Times New Roman" w:hAnsi="Times New Roman" w:eastAsia="AdvOT5e4d79fc" w:cs="Times New Roman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eastAsia="AdvOT5e4d79fc" w:cs="Times New Roman"/>
          <w:sz w:val="21"/>
          <w:szCs w:val="21"/>
        </w:rPr>
        <w:t>T</w:t>
      </w:r>
      <w:r>
        <w:rPr>
          <w:rFonts w:ascii="Times New Roman" w:hAnsi="Times New Roman" w:eastAsia="AdvOT5e4d79fc" w:cs="Times New Roman"/>
          <w:sz w:val="21"/>
          <w:szCs w:val="21"/>
        </w:rPr>
        <w:t>he anthocyanin content under 5</w:t>
      </w:r>
      <w:r>
        <w:rPr>
          <w:rFonts w:ascii="Lucida Grande" w:hAnsi="Lucida Grande" w:cs="Lucida Grande"/>
          <w:color w:val="000000"/>
          <w:sz w:val="21"/>
          <w:szCs w:val="21"/>
        </w:rPr>
        <w:t>°</w:t>
      </w:r>
      <w:r>
        <w:rPr>
          <w:rFonts w:ascii="Times New Roman" w:hAnsi="Times New Roman" w:cs="Times New Roman"/>
          <w:color w:val="000000"/>
          <w:sz w:val="21"/>
          <w:szCs w:val="21"/>
        </w:rPr>
        <w:t>C</w:t>
      </w:r>
      <w:r>
        <w:rPr>
          <w:rFonts w:hint="eastAsia" w:ascii="Times New Roman" w:hAnsi="Times New Roman" w:eastAsia="AdvOT5e4d79fc" w:cs="Times New Roman"/>
          <w:sz w:val="21"/>
          <w:szCs w:val="21"/>
        </w:rPr>
        <w:t xml:space="preserve"> </w:t>
      </w:r>
      <w:r>
        <w:rPr>
          <w:rFonts w:ascii="Times New Roman" w:hAnsi="Times New Roman" w:eastAsia="AdvOT5e4d79fc" w:cs="Times New Roman"/>
          <w:sz w:val="21"/>
          <w:szCs w:val="21"/>
        </w:rPr>
        <w:t>treatment was gradually increased, and the purple color deepened as compared to that observed under  20</w:t>
      </w:r>
      <w:r>
        <w:rPr>
          <w:rFonts w:ascii="Lucida Grande" w:hAnsi="Lucida Grande" w:cs="Lucida Grande"/>
          <w:color w:val="000000"/>
          <w:sz w:val="21"/>
          <w:szCs w:val="21"/>
        </w:rPr>
        <w:t>°</w:t>
      </w:r>
      <w:r>
        <w:rPr>
          <w:rFonts w:ascii="Times New Roman" w:hAnsi="Times New Roman" w:cs="Times New Roman"/>
          <w:color w:val="000000"/>
          <w:sz w:val="21"/>
          <w:szCs w:val="21"/>
        </w:rPr>
        <w:t>C</w:t>
      </w:r>
      <w:r>
        <w:rPr>
          <w:rFonts w:hint="eastAsia" w:ascii="Times New Roman" w:hAnsi="Times New Roman" w:eastAsia="AdvOT5e4d79fc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 xml:space="preserve"> After </w:t>
      </w:r>
      <w:r>
        <w:rPr>
          <w:rFonts w:ascii="Times New Roman" w:hAnsi="Times New Roman" w:cs="Times New Roman"/>
          <w:i/>
          <w:sz w:val="21"/>
          <w:szCs w:val="21"/>
        </w:rPr>
        <w:t>de novo</w:t>
      </w:r>
      <w:r>
        <w:rPr>
          <w:rFonts w:ascii="Times New Roman" w:hAnsi="Times New Roman" w:cs="Times New Roman"/>
          <w:sz w:val="21"/>
          <w:szCs w:val="21"/>
        </w:rPr>
        <w:t xml:space="preserve"> assembly and quantitative assessment of the obtained reads, </w:t>
      </w:r>
      <w:r>
        <w:rPr>
          <w:rFonts w:hint="eastAsia" w:ascii="Times New Roman" w:hAnsi="Times New Roman" w:cs="Times New Roman"/>
          <w:sz w:val="21"/>
          <w:szCs w:val="21"/>
        </w:rPr>
        <w:t>114,043</w:t>
      </w:r>
      <w:r>
        <w:rPr>
          <w:rFonts w:ascii="Times New Roman" w:hAnsi="Times New Roman" w:cs="Times New Roman"/>
          <w:sz w:val="21"/>
          <w:szCs w:val="21"/>
        </w:rPr>
        <w:t xml:space="preserve"> unigenes were </w:t>
      </w:r>
      <w:r>
        <w:rPr>
          <w:rFonts w:ascii="Times New Roman" w:hAnsi="Times New Roman" w:eastAsia="AdvOT5e4d79fc" w:cs="Times New Roman"/>
          <w:kern w:val="0"/>
          <w:sz w:val="21"/>
          <w:szCs w:val="21"/>
        </w:rPr>
        <w:t xml:space="preserve">obtained, and </w:t>
      </w:r>
      <w:r>
        <w:rPr>
          <w:rFonts w:hint="eastAsia" w:ascii="Times New Roman" w:hAnsi="Times New Roman" w:eastAsia="AdvOT5e4d79fc" w:cs="Times New Roman"/>
          <w:kern w:val="0"/>
          <w:sz w:val="21"/>
          <w:szCs w:val="21"/>
        </w:rPr>
        <w:t>76</w:t>
      </w:r>
      <w:r>
        <w:rPr>
          <w:rFonts w:ascii="Times New Roman" w:hAnsi="Times New Roman" w:eastAsia="AdvOT5e4d79fc" w:cs="Times New Roman"/>
          <w:kern w:val="0"/>
          <w:sz w:val="21"/>
          <w:szCs w:val="21"/>
        </w:rPr>
        <w:t>,</w:t>
      </w:r>
      <w:r>
        <w:rPr>
          <w:rFonts w:hint="eastAsia" w:ascii="Times New Roman" w:hAnsi="Times New Roman" w:eastAsia="AdvOT5e4d79fc" w:cs="Times New Roman"/>
          <w:kern w:val="0"/>
          <w:sz w:val="21"/>
          <w:szCs w:val="21"/>
        </w:rPr>
        <w:t>369</w:t>
      </w:r>
      <w:bookmarkStart w:id="2" w:name="OLE_LINK2"/>
      <w:bookmarkStart w:id="3" w:name="OLE_LINK1"/>
      <w:r>
        <w:rPr>
          <w:rFonts w:ascii="Times New Roman" w:hAnsi="Times New Roman" w:eastAsia="AdvOT5e4d79fc" w:cs="Times New Roman"/>
          <w:kern w:val="0"/>
          <w:sz w:val="21"/>
          <w:szCs w:val="21"/>
        </w:rPr>
        <w:t xml:space="preserve"> sequences were annotated by aligning the sequences against five public databases.</w:t>
      </w:r>
      <w:r>
        <w:rPr>
          <w:rFonts w:hint="eastAsia" w:ascii="Times New Roman" w:hAnsi="Times New Roman" w:eastAsia="AdvOT5e4d79fc" w:cs="Times New Roman"/>
          <w:kern w:val="0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Of all the differentially expressed genes (DEGs), 4,17</w:t>
      </w:r>
      <w:r>
        <w:rPr>
          <w:rFonts w:hint="eastAsia" w:ascii="Times New Roman" w:hAnsi="Times New Roman" w:cs="Times New Roman"/>
          <w:sz w:val="21"/>
          <w:szCs w:val="21"/>
        </w:rPr>
        <w:t>2 and 3</w:t>
      </w:r>
      <w:r>
        <w:rPr>
          <w:rFonts w:ascii="Times New Roman" w:hAnsi="Times New Roman" w:cs="Times New Roman"/>
          <w:sz w:val="21"/>
          <w:szCs w:val="21"/>
        </w:rPr>
        <w:t>,</w:t>
      </w:r>
      <w:r>
        <w:rPr>
          <w:rFonts w:hint="eastAsia" w:ascii="Times New Roman" w:hAnsi="Times New Roman" w:cs="Times New Roman"/>
          <w:sz w:val="21"/>
          <w:szCs w:val="21"/>
        </w:rPr>
        <w:t>918</w:t>
      </w:r>
      <w:r>
        <w:rPr>
          <w:rFonts w:ascii="Times New Roman" w:hAnsi="Times New Roman" w:cs="Times New Roman"/>
          <w:sz w:val="21"/>
          <w:szCs w:val="21"/>
        </w:rPr>
        <w:t xml:space="preserve"> up-regulated genes were identified in the 5</w:t>
      </w:r>
      <w:r>
        <w:rPr>
          <w:rFonts w:ascii="Lucida Grande" w:hAnsi="Lucida Grande" w:cs="Lucida Grande"/>
          <w:color w:val="000000"/>
          <w:sz w:val="21"/>
          <w:szCs w:val="21"/>
        </w:rPr>
        <w:t>°</w:t>
      </w:r>
      <w:r>
        <w:rPr>
          <w:rFonts w:ascii="Times New Roman" w:hAnsi="Times New Roman" w:cs="Times New Roman"/>
          <w:color w:val="000000"/>
          <w:sz w:val="21"/>
          <w:szCs w:val="21"/>
        </w:rPr>
        <w:t>C</w:t>
      </w:r>
      <w:r>
        <w:rPr>
          <w:rFonts w:ascii="Times New Roman" w:hAnsi="Times New Roman" w:cs="Times New Roman"/>
          <w:sz w:val="21"/>
          <w:szCs w:val="21"/>
        </w:rPr>
        <w:t xml:space="preserve"> and 20°C treatment groups, respectively. Twelve major anthocyanin </w:t>
      </w:r>
      <w:r>
        <w:rPr>
          <w:rFonts w:ascii="Times New Roman" w:hAnsi="Times New Roman" w:eastAsia="AdvOT5e4d79fc" w:cs="Times New Roman"/>
          <w:sz w:val="21"/>
          <w:szCs w:val="21"/>
        </w:rPr>
        <w:t>accumulation-</w:t>
      </w:r>
      <w:r>
        <w:rPr>
          <w:rFonts w:ascii="Times New Roman" w:hAnsi="Times New Roman" w:cs="Times New Roman"/>
          <w:sz w:val="21"/>
          <w:szCs w:val="21"/>
        </w:rPr>
        <w:t xml:space="preserve"> and biosynthesis-related genes, including transcription factors (TFs), were identified, and their expression levels were estimated. </w:t>
      </w:r>
      <w:bookmarkStart w:id="4" w:name="_Hlk489296201"/>
      <w:r>
        <w:rPr>
          <w:rFonts w:ascii="Times New Roman" w:hAnsi="Times New Roman" w:cs="Times New Roman"/>
          <w:sz w:val="21"/>
          <w:szCs w:val="21"/>
        </w:rPr>
        <w:t xml:space="preserve">The structural genes </w:t>
      </w:r>
      <w:r>
        <w:rPr>
          <w:rFonts w:ascii="Times New Roman" w:hAnsi="Times New Roman" w:eastAsia="AdvOT5e4d79fc" w:cs="Times New Roman"/>
          <w:i/>
          <w:kern w:val="0"/>
          <w:sz w:val="21"/>
          <w:szCs w:val="21"/>
        </w:rPr>
        <w:t xml:space="preserve">PAL, C4H, F3H, CHS, </w:t>
      </w:r>
      <w:r>
        <w:rPr>
          <w:rFonts w:ascii="Times New Roman" w:hAnsi="Times New Roman" w:eastAsia="AdvOT5e4d79fc" w:cs="Times New Roman"/>
          <w:kern w:val="0"/>
          <w:sz w:val="21"/>
          <w:szCs w:val="21"/>
        </w:rPr>
        <w:t xml:space="preserve">and </w:t>
      </w:r>
      <w:r>
        <w:rPr>
          <w:rFonts w:ascii="Times New Roman" w:hAnsi="Times New Roman" w:eastAsia="AdvOT5e4d79fc" w:cs="Times New Roman"/>
          <w:i/>
          <w:kern w:val="0"/>
          <w:sz w:val="21"/>
          <w:szCs w:val="21"/>
        </w:rPr>
        <w:t xml:space="preserve">CUT75G1 </w:t>
      </w:r>
      <w:r>
        <w:rPr>
          <w:rFonts w:ascii="Times New Roman" w:hAnsi="Times New Roman" w:eastAsia="AdvOT5e4d79fc" w:cs="Times New Roman"/>
          <w:kern w:val="0"/>
          <w:sz w:val="21"/>
          <w:szCs w:val="21"/>
        </w:rPr>
        <w:t xml:space="preserve">and </w:t>
      </w:r>
      <w:r>
        <w:rPr>
          <w:rFonts w:ascii="AdvOT1ef757c0" w:eastAsia="AdvOT1ef757c0" w:cs="AdvOT1ef757c0"/>
          <w:kern w:val="0"/>
          <w:sz w:val="21"/>
          <w:szCs w:val="21"/>
        </w:rPr>
        <w:t>TFs</w:t>
      </w:r>
      <w:r>
        <w:rPr>
          <w:rFonts w:hint="eastAsia" w:ascii="AdvOT1ef757c0" w:eastAsia="AdvOT1ef757c0" w:cs="AdvOT1ef757c0"/>
          <w:kern w:val="0"/>
          <w:sz w:val="21"/>
          <w:szCs w:val="21"/>
        </w:rPr>
        <w:t xml:space="preserve"> </w:t>
      </w:r>
      <w:r>
        <w:rPr>
          <w:rFonts w:ascii="Times New Roman" w:hAnsi="Times New Roman" w:cs="Times New Roman"/>
          <w:i/>
          <w:kern w:val="0"/>
          <w:sz w:val="21"/>
          <w:szCs w:val="21"/>
        </w:rPr>
        <w:t>HY5</w:t>
      </w:r>
      <w:r>
        <w:rPr>
          <w:rFonts w:ascii="Times New Roman" w:hAnsi="Times New Roman" w:cs="Times New Roman"/>
          <w:kern w:val="0"/>
          <w:sz w:val="21"/>
          <w:szCs w:val="21"/>
        </w:rPr>
        <w:t>,</w:t>
      </w:r>
      <w:r>
        <w:rPr>
          <w:rFonts w:hint="eastAsia" w:ascii="Times New Roman" w:hAnsi="Times New Roman" w:cs="Times New Roman"/>
          <w:kern w:val="0"/>
          <w:sz w:val="21"/>
          <w:szCs w:val="21"/>
        </w:rPr>
        <w:t xml:space="preserve"> </w:t>
      </w:r>
      <w:r>
        <w:rPr>
          <w:rFonts w:ascii="Times New Roman" w:hAnsi="Times New Roman" w:cs="Times New Roman"/>
          <w:i/>
          <w:kern w:val="0"/>
          <w:sz w:val="21"/>
          <w:szCs w:val="21"/>
        </w:rPr>
        <w:t>MYB44</w:t>
      </w:r>
      <w:r>
        <w:rPr>
          <w:rFonts w:ascii="Times New Roman" w:hAnsi="Times New Roman" w:cs="Times New Roman"/>
          <w:kern w:val="0"/>
          <w:sz w:val="21"/>
          <w:szCs w:val="21"/>
        </w:rPr>
        <w:t xml:space="preserve">, and </w:t>
      </w:r>
      <w:r>
        <w:rPr>
          <w:rFonts w:ascii="Times New Roman" w:hAnsi="Times New Roman" w:cs="Times New Roman"/>
          <w:i/>
          <w:kern w:val="0"/>
          <w:sz w:val="21"/>
          <w:szCs w:val="21"/>
        </w:rPr>
        <w:t xml:space="preserve">MYB113 </w:t>
      </w:r>
      <w:r>
        <w:rPr>
          <w:rFonts w:ascii="Times New Roman" w:hAnsi="Times New Roman" w:cs="Times New Roman"/>
          <w:kern w:val="0"/>
          <w:sz w:val="21"/>
          <w:szCs w:val="21"/>
        </w:rPr>
        <w:t>were induced by low temperature</w:t>
      </w:r>
      <w:bookmarkEnd w:id="4"/>
      <w:r>
        <w:rPr>
          <w:rFonts w:ascii="Times New Roman" w:hAnsi="Times New Roman" w:cs="Times New Roman"/>
          <w:kern w:val="0"/>
          <w:sz w:val="21"/>
          <w:szCs w:val="21"/>
        </w:rPr>
        <w:t xml:space="preserve"> conditions.</w:t>
      </w:r>
      <w:r>
        <w:rPr>
          <w:rFonts w:ascii="Times New Roman" w:hAnsi="Times New Roman" w:cs="Times New Roman"/>
          <w:sz w:val="21"/>
          <w:szCs w:val="21"/>
        </w:rPr>
        <w:t xml:space="preserve"> Overall, this is the first transcriptome sequencing analysis of this plant species under low temperature conditions. Studies of the DEGs involved in the anthocyanin </w:t>
      </w:r>
      <w:r>
        <w:rPr>
          <w:rFonts w:ascii="Times New Roman" w:hAnsi="Times New Roman" w:eastAsia="AdvOT5e4d79fc" w:cs="Times New Roman"/>
          <w:sz w:val="21"/>
          <w:szCs w:val="21"/>
        </w:rPr>
        <w:t>accumulation</w:t>
      </w:r>
      <w:r>
        <w:rPr>
          <w:rFonts w:ascii="Times New Roman" w:hAnsi="Times New Roman" w:cs="Times New Roman"/>
          <w:sz w:val="21"/>
          <w:szCs w:val="21"/>
        </w:rPr>
        <w:t xml:space="preserve"> and biosynthesis pathways provide insights into the regulatory mechanisms of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anthocyanin synthesis and accumulation in purple vegetables at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low temperature</w:t>
      </w:r>
      <w:r>
        <w:rPr>
          <w:rFonts w:hint="eastAsia" w:ascii="Times New Roman" w:hAnsi="Times New Roman" w:cs="Times New Roman"/>
          <w:sz w:val="21"/>
          <w:szCs w:val="21"/>
        </w:rPr>
        <w:t>.</w:t>
      </w:r>
    </w:p>
    <w:bookmarkEnd w:id="2"/>
    <w:bookmarkEnd w:id="3"/>
    <w:p>
      <w:pPr>
        <w:spacing w:line="240" w:lineRule="auto"/>
        <w:rPr>
          <w:sz w:val="21"/>
          <w:szCs w:val="21"/>
        </w:rPr>
      </w:pPr>
      <w:r>
        <w:rPr>
          <w:color w:val="BF5A14"/>
          <w:sz w:val="21"/>
          <w:szCs w:val="21"/>
        </w:rPr>
        <w:t>Image</w:t>
      </w:r>
    </w:p>
    <w:p>
      <w:pPr>
        <w:spacing w:line="240" w:lineRule="auto"/>
        <w:rPr>
          <w:rFonts w:hint="eastAsia" w:eastAsia="宋体"/>
          <w:color w:val="BF5A14"/>
          <w:sz w:val="21"/>
          <w:szCs w:val="21"/>
          <w:lang w:eastAsia="zh-CN"/>
        </w:rPr>
      </w:pPr>
      <w:r>
        <w:rPr>
          <w:rFonts w:hint="eastAsia" w:eastAsia="宋体"/>
          <w:color w:val="BF5A14"/>
          <w:sz w:val="21"/>
          <w:szCs w:val="21"/>
          <w:lang w:eastAsia="zh-CN"/>
        </w:rPr>
        <w:drawing>
          <wp:inline distT="0" distB="0" distL="114300" distR="114300">
            <wp:extent cx="3276600" cy="1331595"/>
            <wp:effectExtent l="0" t="0" r="0" b="9525"/>
            <wp:docPr id="2" name="图片 2" descr="10.23Figure 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.23Figure 1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 w:cs="TimesNewRomanPSMT"/>
          <w:kern w:val="0"/>
          <w:sz w:val="21"/>
          <w:szCs w:val="21"/>
        </w:rPr>
      </w:pPr>
      <w:r>
        <w:rPr>
          <w:rFonts w:hint="eastAsia" w:ascii="AdvOT1ef757c0" w:hAnsi="AdvOTf32ed098.B" w:eastAsia="AdvOT1ef757c0" w:cs="AdvOT1ef757c0"/>
          <w:kern w:val="0"/>
          <w:sz w:val="18"/>
          <w:szCs w:val="18"/>
        </w:rPr>
        <w:t>Fig</w:t>
      </w:r>
      <w:r>
        <w:rPr>
          <w:rFonts w:ascii="AdvOT1ef757c0" w:hAnsi="AdvOTf32ed098.B" w:eastAsia="AdvOT1ef757c0" w:cs="AdvOT1ef757c0"/>
          <w:kern w:val="0"/>
          <w:sz w:val="18"/>
          <w:szCs w:val="18"/>
        </w:rPr>
        <w:t>.</w:t>
      </w:r>
      <w:r>
        <w:rPr>
          <w:rFonts w:hint="eastAsia" w:ascii="AdvOT1ef757c0" w:hAnsi="AdvOTf32ed098.B" w:eastAsia="AdvOT1ef757c0" w:cs="AdvOT1ef757c0"/>
          <w:kern w:val="0"/>
          <w:sz w:val="18"/>
          <w:szCs w:val="18"/>
        </w:rPr>
        <w:t xml:space="preserve"> 1 </w:t>
      </w:r>
      <w:r>
        <w:rPr>
          <w:rFonts w:ascii="AdvOT1ef757c0" w:hAnsi="AdvOTf32ed098.B" w:eastAsia="AdvOT1ef757c0" w:cs="AdvOT1ef757c0"/>
          <w:kern w:val="0"/>
          <w:sz w:val="18"/>
          <w:szCs w:val="18"/>
        </w:rPr>
        <w:t>A</w:t>
      </w:r>
      <w:r>
        <w:rPr>
          <w:rFonts w:hint="eastAsia" w:ascii="AdvOT1ef757c0" w:hAnsi="AdvOTf32ed098.B" w:eastAsia="AdvOT1ef757c0" w:cs="AdvOT1ef757c0"/>
          <w:kern w:val="0"/>
          <w:sz w:val="18"/>
          <w:szCs w:val="18"/>
        </w:rPr>
        <w:t xml:space="preserve">nthocyanin content and </w:t>
      </w:r>
      <w:r>
        <w:rPr>
          <w:rFonts w:ascii="AdvOT1ef757c0" w:hAnsi="AdvOTf32ed098.B" w:eastAsia="AdvOT1ef757c0" w:cs="AdvOT1ef757c0"/>
          <w:kern w:val="0"/>
          <w:sz w:val="18"/>
          <w:szCs w:val="18"/>
        </w:rPr>
        <w:t xml:space="preserve">the </w:t>
      </w:r>
      <w:r>
        <w:rPr>
          <w:rFonts w:hint="eastAsia" w:ascii="AdvOT1ef757c0" w:hAnsi="AdvOTf32ed098.B" w:eastAsia="AdvOT1ef757c0" w:cs="AdvOT1ef757c0"/>
          <w:kern w:val="0"/>
          <w:sz w:val="18"/>
          <w:szCs w:val="18"/>
        </w:rPr>
        <w:t xml:space="preserve">color of purple pakchoi at </w:t>
      </w:r>
      <w:r>
        <w:rPr>
          <w:rFonts w:ascii="AdvOT1ef757c0" w:hAnsi="AdvOTf32ed098.B" w:eastAsia="AdvOT1ef757c0" w:cs="AdvOT1ef757c0"/>
          <w:kern w:val="0"/>
          <w:sz w:val="18"/>
          <w:szCs w:val="18"/>
        </w:rPr>
        <w:t>5°C</w:t>
      </w:r>
      <w:r>
        <w:rPr>
          <w:rFonts w:hint="eastAsia" w:ascii="AdvOT1ef757c0" w:hAnsi="AdvOTf32ed098.B" w:eastAsia="AdvOT1ef757c0" w:cs="AdvOT1ef757c0"/>
          <w:kern w:val="0"/>
          <w:sz w:val="18"/>
          <w:szCs w:val="18"/>
        </w:rPr>
        <w:t xml:space="preserve"> and 20</w:t>
      </w:r>
      <w:r>
        <w:rPr>
          <w:rFonts w:ascii="AdvOT1ef757c0" w:hAnsi="AdvOTf32ed098.B" w:eastAsia="AdvOT1ef757c0" w:cs="AdvOT1ef757c0"/>
          <w:kern w:val="0"/>
          <w:sz w:val="18"/>
          <w:szCs w:val="18"/>
        </w:rPr>
        <w:t>°C</w:t>
      </w:r>
      <w:r>
        <w:rPr>
          <w:rFonts w:hint="eastAsia" w:ascii="AdvOT1ef757c0" w:hAnsi="AdvOTf32ed098.B" w:eastAsia="AdvOT1ef757c0" w:cs="AdvOT1ef757c0"/>
          <w:kern w:val="0"/>
          <w:sz w:val="18"/>
          <w:szCs w:val="18"/>
        </w:rPr>
        <w:t>.</w:t>
      </w:r>
      <w:r>
        <w:rPr>
          <w:rFonts w:ascii="AdvOT1ef757c0" w:hAnsi="AdvOTf32ed098.B" w:eastAsia="AdvOT1ef757c0" w:cs="AdvOT1ef757c0"/>
          <w:kern w:val="0"/>
          <w:sz w:val="18"/>
          <w:szCs w:val="18"/>
        </w:rPr>
        <w:t xml:space="preserve">Anthocyanin content changes in purple pakchoi treated with low temperatures from 0 d to 12 d (A); comparison of color in purple pakchoi under low temperature conditionsat 0 d and 10 d. </w:t>
      </w:r>
    </w:p>
    <w:p>
      <w:pPr>
        <w:rPr>
          <w:rFonts w:ascii="Times New Roman" w:hAnsi="Times New Roma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276600" cy="2589530"/>
            <wp:effectExtent l="0" t="0" r="0" b="1270"/>
            <wp:docPr id="3" name="图片 3" descr="10.23Figure 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0.23Figure 2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58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kern w:val="0"/>
          <w:sz w:val="18"/>
          <w:szCs w:val="18"/>
        </w:rPr>
        <w:t>Fig.</w:t>
      </w:r>
      <w:r>
        <w:rPr>
          <w:rFonts w:hint="eastAsia" w:ascii="AdvOT1ef757c0" w:hAnsi="AdvOTf32ed098.B" w:eastAsia="AdvOT1ef757c0" w:cs="AdvOT1ef757c0"/>
          <w:kern w:val="0"/>
          <w:sz w:val="18"/>
          <w:szCs w:val="18"/>
        </w:rPr>
        <w:t xml:space="preserve"> 2 R</w:t>
      </w:r>
      <w:r>
        <w:rPr>
          <w:rFonts w:hint="eastAsia" w:ascii="宋体" w:hAnsi="宋体" w:eastAsia="宋体" w:cs="宋体"/>
          <w:kern w:val="0"/>
          <w:sz w:val="18"/>
          <w:szCs w:val="18"/>
        </w:rPr>
        <w:t>e</w:t>
      </w:r>
      <w:r>
        <w:rPr>
          <w:rFonts w:ascii="AdvOT1ef757c0" w:hAnsi="AdvOTf32ed098.B" w:eastAsia="AdvOT1ef757c0" w:cs="AdvOT1ef757c0"/>
          <w:kern w:val="0"/>
          <w:sz w:val="18"/>
          <w:szCs w:val="18"/>
        </w:rPr>
        <w:t>al-time PCR. Data represent the mean ± SE (n = 3 or 4). Single and double asterisks indicate statistical differences compared to the control (t-test, p&lt;0.0</w:t>
      </w:r>
      <w:r>
        <w:rPr>
          <w:rFonts w:hint="eastAsia" w:ascii="AdvOT1ef757c0" w:hAnsi="AdvOTf32ed098.B" w:eastAsia="AdvOT1ef757c0" w:cs="AdvOT1ef757c0"/>
          <w:kern w:val="0"/>
          <w:sz w:val="18"/>
          <w:szCs w:val="18"/>
        </w:rPr>
        <w:t>5</w:t>
      </w:r>
      <w:r>
        <w:rPr>
          <w:rFonts w:ascii="AdvOT1ef757c0" w:hAnsi="AdvOTf32ed098.B" w:eastAsia="AdvOT1ef757c0" w:cs="AdvOT1ef757c0"/>
          <w:kern w:val="0"/>
          <w:sz w:val="18"/>
          <w:szCs w:val="18"/>
        </w:rPr>
        <w:t>). The relative gene expression of 1</w:t>
      </w:r>
      <w:r>
        <w:rPr>
          <w:rFonts w:hint="eastAsia" w:ascii="AdvOT1ef757c0" w:hAnsi="AdvOTf32ed098.B" w:eastAsia="AdvOT1ef757c0" w:cs="AdvOT1ef757c0"/>
          <w:kern w:val="0"/>
          <w:sz w:val="18"/>
          <w:szCs w:val="18"/>
        </w:rPr>
        <w:t>2</w:t>
      </w:r>
      <w:r>
        <w:rPr>
          <w:rFonts w:ascii="AdvOT1ef757c0" w:hAnsi="AdvOTf32ed098.B" w:eastAsia="AdvOT1ef757c0" w:cs="AdvOT1ef757c0"/>
          <w:kern w:val="0"/>
          <w:sz w:val="18"/>
          <w:szCs w:val="18"/>
        </w:rPr>
        <w:t xml:space="preserve"> randomly selected genes examined usingqRT-PCR (5 or 0.01, respectively)</w:t>
      </w:r>
      <w:r>
        <w:rPr>
          <w:rFonts w:ascii="Times New Roman" w:hAnsi="Times New Roman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4250690</wp:posOffset>
                </wp:positionH>
                <wp:positionV relativeFrom="paragraph">
                  <wp:posOffset>1836420</wp:posOffset>
                </wp:positionV>
                <wp:extent cx="121285" cy="194310"/>
                <wp:effectExtent l="0" t="0" r="12065" b="15240"/>
                <wp:wrapNone/>
                <wp:docPr id="274" name="文本框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4.7pt;margin-top:144.6pt;height:15.3pt;width:9.55pt;z-index:251673600;mso-width-relative:page;mso-height-relative:page;" fillcolor="#FFFFFF" filled="t" stroked="t" coordsize="21600,21600" o:gfxdata="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P5QE+NoAAAAL&#10;AQAADwAAAAAAAAABACAAAAAiAAAAZHJzL2Rvd25yZXYueG1sUEsBAhQAFAAAAAgAh07iQNdxEhoa&#10;AgAALAQAAA4AAAAAAAAAAQAgAAAAKQEAAGRycy9lMm9Eb2MueG1sUEsFBgAAAAAGAAYAWQEAALUF&#10;AAAAAA==&#10;">
                <v:fill on="t" focussize="0,0"/>
                <v:stroke color="#FFFFF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8"/>
          <w:szCs w:val="18"/>
        </w:rPr>
        <w:t xml:space="preserve"> </w:t>
      </w:r>
    </w:p>
    <w:p>
      <w:pPr>
        <w:rPr>
          <w:rFonts w:hint="eastAsia" w:ascii="Times New Roman" w:hAnsi="Times New Roman" w:eastAsia="宋体"/>
          <w:lang w:eastAsia="zh-CN"/>
        </w:rPr>
      </w:pPr>
      <w:r>
        <w:rPr>
          <w:rFonts w:hint="eastAsia" w:ascii="Times New Roman" w:hAnsi="Times New Roman" w:eastAsia="宋体"/>
          <w:lang w:eastAsia="zh-CN"/>
        </w:rPr>
        <w:drawing>
          <wp:inline distT="0" distB="0" distL="114300" distR="114300">
            <wp:extent cx="3079115" cy="2862580"/>
            <wp:effectExtent l="0" t="0" r="14605" b="2540"/>
            <wp:docPr id="4" name="图片 4" descr="10.23Figure 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0.23Figure 3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79115" cy="286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 w:eastAsia="AdvOT5e4d79fc" w:cs="Times New Roman"/>
          <w:kern w:val="0"/>
          <w:sz w:val="18"/>
          <w:szCs w:val="18"/>
        </w:rPr>
      </w:pPr>
      <w:r>
        <w:rPr>
          <w:rFonts w:ascii="Times New Roman" w:hAnsi="Times New Roman" w:eastAsia="AdvOT5e4d79fc" w:cs="Times New Roman"/>
          <w:kern w:val="0"/>
          <w:sz w:val="18"/>
          <w:szCs w:val="18"/>
        </w:rPr>
        <w:t>Fig</w:t>
      </w:r>
      <w:r>
        <w:rPr>
          <w:rFonts w:ascii="Times New Roman" w:hAnsi="Times New Roman" w:eastAsia="AdvOT5e4d79fc" w:cs="Times New Roman"/>
          <w:kern w:val="0"/>
          <w:sz w:val="18"/>
          <w:szCs w:val="18"/>
        </w:rPr>
        <w:t xml:space="preserve">. 3 </w:t>
      </w:r>
      <w:r>
        <w:rPr>
          <w:rFonts w:hint="eastAsia" w:ascii="Times New Roman" w:hAnsi="Times New Roman" w:eastAsia="AdvOT5e4d79fc" w:cs="Times New Roman"/>
          <w:kern w:val="0"/>
          <w:sz w:val="18"/>
          <w:szCs w:val="18"/>
        </w:rPr>
        <w:t>Four</w:t>
      </w:r>
      <w:r>
        <w:rPr>
          <w:rFonts w:ascii="Times New Roman" w:hAnsi="Times New Roman" w:eastAsia="AdvOT5e4d79fc" w:cs="Times New Roman"/>
          <w:kern w:val="0"/>
          <w:sz w:val="18"/>
          <w:szCs w:val="18"/>
        </w:rPr>
        <w:t xml:space="preserve"> major pathways likely implicated in the effects of low temperatures on </w:t>
      </w:r>
      <w:r>
        <w:rPr>
          <w:rFonts w:hint="eastAsia" w:ascii="Times New Roman" w:hAnsi="Times New Roman" w:eastAsia="AdvOT5e4d79fc" w:cs="Times New Roman"/>
          <w:kern w:val="0"/>
          <w:sz w:val="18"/>
          <w:szCs w:val="18"/>
        </w:rPr>
        <w:t xml:space="preserve">purple pakchoi </w:t>
      </w:r>
      <w:r>
        <w:rPr>
          <w:rFonts w:ascii="Times New Roman" w:hAnsi="Times New Roman" w:eastAsia="AdvOT5e4d79fc" w:cs="Times New Roman"/>
          <w:kern w:val="0"/>
          <w:sz w:val="18"/>
          <w:szCs w:val="18"/>
        </w:rPr>
        <w:t xml:space="preserve">during IMC identified by a KEGG enrichment analysis. Thered line </w:t>
      </w:r>
      <w:bookmarkStart w:id="5" w:name="OLE_LINK18"/>
      <w:bookmarkStart w:id="6" w:name="OLE_LINK19"/>
      <w:r>
        <w:rPr>
          <w:rFonts w:ascii="Times New Roman" w:hAnsi="Times New Roman" w:eastAsia="AdvOT5e4d79fc" w:cs="Times New Roman"/>
          <w:kern w:val="0"/>
          <w:sz w:val="18"/>
          <w:szCs w:val="18"/>
        </w:rPr>
        <w:t>represents</w:t>
      </w:r>
      <w:bookmarkEnd w:id="5"/>
      <w:bookmarkEnd w:id="6"/>
      <w:r>
        <w:rPr>
          <w:rFonts w:ascii="Times New Roman" w:hAnsi="Times New Roman" w:eastAsia="AdvOT5e4d79fc" w:cs="Times New Roman"/>
          <w:kern w:val="0"/>
          <w:sz w:val="18"/>
          <w:szCs w:val="18"/>
        </w:rPr>
        <w:t>a p-value of 0.05</w:t>
      </w:r>
    </w:p>
    <w:p>
      <w:pPr>
        <w:rPr>
          <w:rFonts w:hint="eastAsia" w:ascii="Times New Roman" w:hAnsi="Times New Roman" w:eastAsia="宋体"/>
          <w:lang w:eastAsia="zh-CN"/>
        </w:rPr>
      </w:pPr>
      <w:r>
        <w:rPr>
          <w:rFonts w:hint="eastAsia" w:ascii="Times New Roman" w:hAnsi="Times New Roman" w:eastAsia="宋体"/>
          <w:lang w:eastAsia="zh-CN"/>
        </w:rPr>
        <w:drawing>
          <wp:inline distT="0" distB="0" distL="114300" distR="114300">
            <wp:extent cx="3276600" cy="2563495"/>
            <wp:effectExtent l="0" t="0" r="0" b="12065"/>
            <wp:docPr id="5" name="图片 5" descr="10.23Figure 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0.23Figure 4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spacing w:line="240" w:lineRule="auto"/>
        <w:jc w:val="left"/>
        <w:rPr>
          <w:rFonts w:ascii="Times New Roman" w:hAnsi="Times New Roman" w:eastAsia="AdvOT5e4d79fc" w:cs="Times New Roman"/>
          <w:kern w:val="0"/>
          <w:sz w:val="18"/>
          <w:szCs w:val="18"/>
        </w:rPr>
      </w:pPr>
      <w:r>
        <w:rPr>
          <w:rFonts w:ascii="Times New Roman" w:hAnsi="Times New Roman" w:eastAsia="AdvOT5e4d79fc" w:cs="Times New Roman"/>
          <w:kern w:val="0"/>
          <w:sz w:val="18"/>
          <w:szCs w:val="18"/>
        </w:rPr>
        <w:t xml:space="preserve">Fig. 4 Anthocyanin biosynthetic pathwaysin purple pakchoi under low temperature conditions. </w:t>
      </w:r>
      <w:r>
        <w:rPr>
          <w:rFonts w:ascii="Times New Roman" w:hAnsi="Times New Roman" w:eastAsia="AdvOT5e4d79fc" w:cs="Times New Roman"/>
          <w:i/>
          <w:iCs/>
          <w:kern w:val="0"/>
          <w:sz w:val="18"/>
          <w:szCs w:val="18"/>
        </w:rPr>
        <w:t>HY5, MYB44</w:t>
      </w:r>
      <w:r>
        <w:rPr>
          <w:rFonts w:ascii="Times New Roman" w:hAnsi="Times New Roman" w:eastAsia="AdvOT5e4d79fc" w:cs="Times New Roman"/>
          <w:i w:val="0"/>
          <w:kern w:val="0"/>
          <w:sz w:val="18"/>
          <w:szCs w:val="18"/>
        </w:rPr>
        <w:t xml:space="preserve"> </w:t>
      </w:r>
      <w:r>
        <w:rPr>
          <w:rFonts w:ascii="Times New Roman" w:hAnsi="Times New Roman" w:eastAsia="AdvOT5e4d79fc" w:cs="Times New Roman"/>
          <w:kern w:val="0"/>
          <w:sz w:val="18"/>
          <w:szCs w:val="18"/>
        </w:rPr>
        <w:t>and</w:t>
      </w:r>
      <w:r>
        <w:rPr>
          <w:rFonts w:ascii="Times New Roman" w:hAnsi="Times New Roman" w:eastAsia="AdvOT5e4d79fc" w:cs="Times New Roman"/>
          <w:i w:val="0"/>
          <w:kern w:val="0"/>
          <w:sz w:val="18"/>
          <w:szCs w:val="18"/>
        </w:rPr>
        <w:t xml:space="preserve"> </w:t>
      </w:r>
      <w:r>
        <w:rPr>
          <w:rFonts w:ascii="Times New Roman" w:hAnsi="Times New Roman" w:eastAsia="AdvOT5e4d79fc" w:cs="Times New Roman"/>
          <w:i/>
          <w:iCs/>
          <w:kern w:val="0"/>
          <w:sz w:val="18"/>
          <w:szCs w:val="18"/>
        </w:rPr>
        <w:t>MYB113</w:t>
      </w:r>
      <w:r>
        <w:rPr>
          <w:rFonts w:hint="eastAsia" w:ascii="Times New Roman" w:hAnsi="Times New Roman" w:eastAsia="AdvOT5e4d79fc" w:cs="Times New Roman"/>
          <w:i/>
          <w:iCs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AdvOT5e4d79fc" w:cs="Times New Roman"/>
          <w:kern w:val="0"/>
          <w:sz w:val="18"/>
          <w:szCs w:val="18"/>
        </w:rPr>
        <w:t xml:space="preserve">are transcription factors.Genes involved in this pathway include </w:t>
      </w:r>
      <w:r>
        <w:rPr>
          <w:rFonts w:ascii="Times New Roman" w:hAnsi="Times New Roman" w:eastAsia="AdvOT5e4d79fc" w:cs="Times New Roman"/>
          <w:i/>
          <w:iCs/>
          <w:kern w:val="0"/>
          <w:sz w:val="18"/>
          <w:szCs w:val="18"/>
        </w:rPr>
        <w:t>PAL, C4H, CHS, F3H, DFR, ANS, U78D1</w:t>
      </w:r>
      <w:r>
        <w:rPr>
          <w:rFonts w:ascii="Times New Roman" w:hAnsi="Times New Roman" w:eastAsia="AdvOT5e4d79fc" w:cs="Times New Roman"/>
          <w:kern w:val="0"/>
          <w:sz w:val="18"/>
          <w:szCs w:val="18"/>
        </w:rPr>
        <w:t>and</w:t>
      </w:r>
      <w:r>
        <w:rPr>
          <w:rFonts w:hint="eastAsia" w:ascii="Times New Roman" w:hAnsi="Times New Roman" w:eastAsia="AdvOT5e4d79fc" w:cs="Times New Roman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AdvOT5e4d79fc" w:cs="Times New Roman"/>
          <w:i/>
          <w:iCs/>
          <w:kern w:val="0"/>
          <w:sz w:val="18"/>
          <w:szCs w:val="18"/>
        </w:rPr>
        <w:t>CUT75G1</w:t>
      </w:r>
      <w:r>
        <w:rPr>
          <w:rFonts w:ascii="Times New Roman" w:hAnsi="Times New Roman" w:eastAsia="AdvOT5e4d79fc" w:cs="Times New Roman"/>
          <w:i w:val="0"/>
          <w:kern w:val="0"/>
          <w:sz w:val="18"/>
          <w:szCs w:val="18"/>
        </w:rPr>
        <w:t xml:space="preserve">. </w:t>
      </w:r>
      <w:r>
        <w:rPr>
          <w:rFonts w:ascii="Times New Roman" w:hAnsi="Times New Roman" w:eastAsia="AdvOT5e4d79fc" w:cs="Times New Roman"/>
          <w:kern w:val="0"/>
          <w:sz w:val="18"/>
          <w:szCs w:val="18"/>
        </w:rPr>
        <w:t>Red representsthe up-regulation of the gene expression level, while green denotesdown-regulation.Gray indicates a non-DEG.</w:t>
      </w:r>
    </w:p>
    <w:p/>
    <w:p/>
    <w:p>
      <w:pPr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Arial"/>
          <w:b/>
          <w:color w:val="BF5A14"/>
          <w:sz w:val="20"/>
        </w:rPr>
        <w:t>Recent Publications</w:t>
      </w:r>
    </w:p>
    <w:p>
      <w:pPr>
        <w:pStyle w:val="13"/>
        <w:numPr>
          <w:ilvl w:val="0"/>
          <w:numId w:val="1"/>
        </w:numPr>
        <w:ind w:firstLineChars="0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color w:val="000000"/>
          <w:kern w:val="0"/>
          <w:sz w:val="18"/>
          <w:szCs w:val="18"/>
        </w:rPr>
        <w:t xml:space="preserve">N.U. Ahmed, J.I. Park, H.J. Jung, et al., Anthocyanin biosynthesis </w:t>
      </w:r>
      <w:r>
        <w:rPr>
          <w:rFonts w:hint="eastAsia" w:ascii="Times New Roman" w:hAnsi="Times New Roman" w:cs="Times New Roman"/>
          <w:color w:val="000000"/>
          <w:kern w:val="0"/>
          <w:sz w:val="18"/>
          <w:szCs w:val="18"/>
          <w:lang w:val="en-US" w:eastAsia="zh-CN"/>
        </w:rPr>
        <w:t xml:space="preserve">   </w:t>
      </w:r>
      <w:r>
        <w:rPr>
          <w:rFonts w:ascii="Times New Roman" w:hAnsi="Times New Roman" w:cs="Times New Roman"/>
          <w:color w:val="000000"/>
          <w:kern w:val="0"/>
          <w:sz w:val="18"/>
          <w:szCs w:val="18"/>
        </w:rPr>
        <w:t xml:space="preserve">for cold and freezing stress tolerance and desirable color in Brassica </w:t>
      </w:r>
      <w:r>
        <w:rPr>
          <w:rFonts w:hint="eastAsia" w:ascii="Times New Roman" w:hAnsi="Times New Roman" w:cs="Times New Roman"/>
          <w:color w:val="000000"/>
          <w:kern w:val="0"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18"/>
          <w:szCs w:val="18"/>
        </w:rPr>
        <w:t xml:space="preserve">rapa, FUNCT INTEGR GENOMIC </w:t>
      </w:r>
    </w:p>
    <w:p>
      <w:pPr>
        <w:pStyle w:val="13"/>
        <w:numPr>
          <w:ilvl w:val="0"/>
          <w:numId w:val="1"/>
        </w:numPr>
        <w:ind w:firstLineChars="0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cs="Times New Roman"/>
          <w:color w:val="000000"/>
          <w:kern w:val="0"/>
          <w:sz w:val="18"/>
          <w:szCs w:val="18"/>
        </w:rPr>
        <w:t>C. Kang, O. Darwish, A. Geretz, et al., Genome-scale transcriptomic insights into early-stage fruit development in woodland strawberry Fragaria vesca., PLANT CELL 25 (2013)1960-78.</w:t>
      </w:r>
    </w:p>
    <w:p>
      <w:pPr>
        <w:numPr>
          <w:ilvl w:val="0"/>
          <w:numId w:val="1"/>
        </w:numPr>
        <w:autoSpaceDE w:val="0"/>
        <w:autoSpaceDN w:val="0"/>
        <w:adjustRightInd w:val="0"/>
        <w:ind w:left="420" w:leftChars="0" w:hanging="420" w:firstLineChars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 w:eastAsia="宋体" w:cs="Times New Roman"/>
          <w:color w:val="000000"/>
          <w:kern w:val="0"/>
          <w:sz w:val="18"/>
          <w:szCs w:val="18"/>
          <w:lang w:val="en-US" w:eastAsia="zh-CN" w:bidi="ar-SA"/>
        </w:rPr>
        <w:t>Y. Qu, A. Zhou, X. Zhang, et al., De Novo Transcriptome Sequencing of Low Temperature-Treated Phlox subulata and Analysis of the Genes Involved in Cold Stress, INT J MOL SCI 16 (2015)9732.</w:t>
      </w:r>
    </w:p>
    <w:p>
      <w:pPr>
        <w:numPr>
          <w:ilvl w:val="0"/>
          <w:numId w:val="1"/>
        </w:numPr>
        <w:autoSpaceDE w:val="0"/>
        <w:autoSpaceDN w:val="0"/>
        <w:adjustRightInd w:val="0"/>
        <w:ind w:left="420" w:leftChars="0" w:hanging="420" w:firstLineChars="0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ascii="Times New Roman" w:hAnsi="Times New Roman" w:cs="Times New Roman"/>
          <w:color w:val="000000"/>
          <w:kern w:val="0"/>
          <w:sz w:val="18"/>
          <w:szCs w:val="18"/>
        </w:rPr>
        <w:t>X. Gu, Y. Chen, Z. Gao, et al., Transcription factors and anthocyanin genes related to low-temperature tolerance in rd29A:RdreB1BI transgenic strawberry, Plant Physiology &amp; Biochemistry Ppb 89 (2015)31-43.</w:t>
      </w:r>
    </w:p>
    <w:p>
      <w:pPr>
        <w:autoSpaceDE w:val="0"/>
        <w:autoSpaceDN w:val="0"/>
        <w:adjustRightInd w:val="0"/>
        <w:ind w:left="400" w:hanging="360" w:hangingChars="200"/>
        <w:rPr>
          <w:rFonts w:ascii="Times New Roman" w:hAnsi="Times New Roman" w:cs="Times New Roman"/>
          <w:kern w:val="0"/>
          <w:sz w:val="18"/>
          <w:szCs w:val="18"/>
        </w:rPr>
      </w:pPr>
      <w:r>
        <w:rPr>
          <w:rFonts w:hint="eastAsia" w:ascii="Times New Roman" w:hAnsi="Times New Roman" w:cs="Times New Roman"/>
          <w:color w:val="000000"/>
          <w:kern w:val="0"/>
          <w:sz w:val="18"/>
          <w:szCs w:val="18"/>
          <w:lang w:val="en-US" w:eastAsia="zh-CN"/>
        </w:rPr>
        <w:t xml:space="preserve">5. </w:t>
      </w:r>
      <w:r>
        <w:rPr>
          <w:rFonts w:ascii="Times New Roman" w:hAnsi="Times New Roman" w:cs="Times New Roman"/>
          <w:color w:val="000000"/>
          <w:kern w:val="0"/>
          <w:sz w:val="18"/>
          <w:szCs w:val="18"/>
        </w:rPr>
        <w:t xml:space="preserve"> C. Zhang, H. Jia, W. Wu, et al., Functional conservation analysis and expression modes of grape anthocyanin synthesis genes responsive to low temperature stress, GENE 574 (2015)168-77.</w:t>
      </w:r>
    </w:p>
    <w:p>
      <w:pPr>
        <w:sectPr>
          <w:type w:val="continuous"/>
          <w:pgSz w:w="11906" w:h="16838"/>
          <w:pgMar w:top="1440" w:right="567" w:bottom="1440" w:left="567" w:header="851" w:footer="992" w:gutter="0"/>
          <w:cols w:equalWidth="0" w:num="2">
            <w:col w:w="5173" w:space="425"/>
            <w:col w:w="5173"/>
          </w:cols>
          <w:docGrid w:type="lines" w:linePitch="312" w:charSpace="0"/>
        </w:sectPr>
      </w:pPr>
    </w:p>
    <w:p/>
    <w:p/>
    <w:p>
      <w:r>
        <w:rPr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453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5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o:spt="203" style="height:2pt;width:313.05pt;" coordsize="6261,40" o:gfxdata="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mSUQYdQAAAADAQAADwAAAAAAAAABACAAAAAiAAAAZHJzL2Rvd25yZXYueG1sUEsBAhQA&#10;FAAAAAgAh07iQNHuQe72AQAASQQAAA4AAAAAAAAAAQAgAAAAIwEAAGRycy9lMm9Eb2MueG1sUEsF&#10;BgAAAAAGAAYAWQEAAIsFAAAAAA==&#10;">
                <o:lock v:ext="edit" aspectratio="f"/>
                <v:line id="Line 5" o:spid="_x0000_s1026" o:spt="20" style="position:absolute;left:20;top:20;height:0;width:6221;" filled="f" stroked="t" coordsize="21600,21600" o:gfxdata="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46WXy8AAAA&#10;3A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00408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/>
    <w:p/>
    <w:p>
      <w:pPr>
        <w:jc w:val="center"/>
      </w:pPr>
      <w:r>
        <w:rPr>
          <w:rStyle w:val="9"/>
          <w:rFonts w:hint="eastAsia" w:ascii="Arial"/>
          <w:sz w:val="14"/>
          <w:lang w:eastAsia="zh-CN"/>
        </w:rPr>
        <w:drawing>
          <wp:inline distT="0" distB="0" distL="0" distR="0">
            <wp:extent cx="1059180" cy="1295400"/>
            <wp:effectExtent l="0" t="0" r="762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  <w:r>
        <w:rPr>
          <w:rFonts w:hint="eastAsia" w:ascii="Arial"/>
          <w:sz w:val="14"/>
        </w:rPr>
        <w:t>Y</w:t>
      </w:r>
      <w:r>
        <w:rPr>
          <w:rFonts w:ascii="Arial"/>
          <w:sz w:val="14"/>
        </w:rPr>
        <w:t>u</w:t>
      </w:r>
      <w:r>
        <w:rPr>
          <w:rFonts w:hint="eastAsia" w:ascii="Arial"/>
          <w:sz w:val="14"/>
        </w:rPr>
        <w:t>y</w:t>
      </w:r>
      <w:r>
        <w:rPr>
          <w:rFonts w:ascii="Arial"/>
          <w:sz w:val="14"/>
        </w:rPr>
        <w:t xml:space="preserve">ing ZHU has working on Shanghai Academy of Agricultural Sciences since 1984. Now he </w:t>
      </w:r>
      <w:r>
        <w:rPr>
          <w:rFonts w:ascii="Arial"/>
          <w:sz w:val="14"/>
        </w:rPr>
        <w:t>has his expertise in pakchoi</w:t>
      </w:r>
      <w:r>
        <w:rPr>
          <w:rFonts w:hint="eastAsia" w:ascii="Arial"/>
          <w:sz w:val="14"/>
        </w:rPr>
        <w:t xml:space="preserve"> </w:t>
      </w:r>
      <w:r>
        <w:rPr>
          <w:rFonts w:ascii="Arial"/>
          <w:sz w:val="14"/>
        </w:rPr>
        <w:t xml:space="preserve">cultivation and breeding. He has chosen 15 pakchoi varieties that have large area. </w:t>
      </w:r>
      <w:r>
        <w:rPr>
          <w:rFonts w:hint="eastAsia" w:ascii="Arial"/>
          <w:sz w:val="14"/>
        </w:rPr>
        <w:br w:type="textWrapping"/>
      </w:r>
      <w:r>
        <w:rPr>
          <w:rFonts w:ascii="Arial"/>
          <w:sz w:val="14"/>
        </w:rPr>
        <w:t xml:space="preserve"> </w:t>
      </w:r>
    </w:p>
    <w:p>
      <w:pPr>
        <w:spacing w:before="62"/>
        <w:ind w:right="2752"/>
        <w:jc w:val="center"/>
        <w:rPr>
          <w:rFonts w:hint="eastAsia" w:ascii="Arial" w:eastAsia="宋体"/>
          <w:sz w:val="14"/>
          <w:szCs w:val="14"/>
          <w:lang w:val="en-US" w:eastAsia="zh-CN"/>
        </w:rPr>
      </w:pPr>
      <w:r>
        <w:rPr>
          <w:rFonts w:ascii="Arial"/>
          <w:sz w:val="14"/>
        </w:rPr>
        <w:t xml:space="preserve">  </w:t>
      </w:r>
      <w:r>
        <w:rPr>
          <w:rFonts w:ascii="Arial"/>
          <w:sz w:val="14"/>
          <w:szCs w:val="14"/>
        </w:rPr>
        <w:t xml:space="preserve">Email: </w:t>
      </w:r>
      <w:r>
        <w:rPr>
          <w:rFonts w:hint="eastAsia"/>
          <w:sz w:val="14"/>
          <w:szCs w:val="14"/>
          <w:lang w:val="en-US" w:eastAsia="zh-CN"/>
        </w:rPr>
        <w:t>yy5</w:t>
      </w:r>
      <w:r>
        <w:rPr>
          <w:sz w:val="14"/>
          <w:szCs w:val="14"/>
        </w:rPr>
        <w:t>@</w:t>
      </w:r>
      <w:r>
        <w:rPr>
          <w:rFonts w:hint="eastAsia"/>
          <w:sz w:val="14"/>
          <w:szCs w:val="14"/>
          <w:lang w:val="en-US" w:eastAsia="zh-CN"/>
        </w:rPr>
        <w:t>saas.sh</w:t>
      </w:r>
      <w:r>
        <w:rPr>
          <w:sz w:val="14"/>
          <w:szCs w:val="14"/>
        </w:rPr>
        <w:t>.com</w:t>
      </w:r>
      <w:r>
        <w:rPr>
          <w:rStyle w:val="9"/>
          <w:rFonts w:ascii="Arial"/>
          <w:color w:val="auto"/>
          <w:sz w:val="14"/>
          <w:szCs w:val="14"/>
          <w:u w:val="none"/>
        </w:rPr>
        <w:t xml:space="preserve">   Contact No: 1</w:t>
      </w:r>
      <w:r>
        <w:rPr>
          <w:rStyle w:val="9"/>
          <w:rFonts w:hint="eastAsia" w:ascii="Arial"/>
          <w:color w:val="auto"/>
          <w:sz w:val="14"/>
          <w:szCs w:val="14"/>
          <w:u w:val="none"/>
          <w:lang w:val="en-US" w:eastAsia="zh-CN"/>
        </w:rPr>
        <w:t>8918162183</w:t>
      </w:r>
    </w:p>
    <w:p/>
    <w:p>
      <w:r>
        <mc:AlternateContent>
          <mc:Choice Requires="wps">
            <w:drawing>
              <wp:anchor distT="0" distB="0" distL="0" distR="0" simplePos="0" relativeHeight="251694080" behindDoc="0" locked="0" layoutInCell="1" allowOverlap="1">
                <wp:simplePos x="0" y="0"/>
                <wp:positionH relativeFrom="page">
                  <wp:posOffset>1763395</wp:posOffset>
                </wp:positionH>
                <wp:positionV relativeFrom="paragraph">
                  <wp:posOffset>6985</wp:posOffset>
                </wp:positionV>
                <wp:extent cx="3442335" cy="0"/>
                <wp:effectExtent l="0" t="0" r="24765" b="19050"/>
                <wp:wrapTopAndBottom/>
                <wp:docPr id="1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138.85pt;margin-top:0.55pt;height:0pt;width:271.05pt;mso-position-horizontal-relative:page;mso-wrap-distance-bottom:0pt;mso-wrap-distance-top:0pt;z-index:251694080;mso-width-relative:page;mso-height-relative:page;" filled="f" stroked="t" coordsize="21600,21600" o:gfxdata="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EQ4ScPTAAAA&#10;BwEAAA8AAAAAAAAAAQAgAAAAIgAAAGRycy9kb3ducmV2LnhtbFBLAQIUABQAAAAIAIdO4kBUoMs+&#10;sAEAAFEDAAAOAAAAAAAAAAEAIAAAACIBAABkcnMvZTJvRG9jLnhtbFBLBQYAAAAABgAGAFkBAABE&#10;BQAAAAA=&#10;">
                <v:fill on="f" focussize="0,0"/>
                <v:stroke weight="0.5pt" color="#00408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/>
    <w:p>
      <w:pPr>
        <w:rPr>
          <w:rFonts w:ascii="Times New Roman" w:hAnsi="Times New Roman"/>
          <w:iCs/>
          <w:sz w:val="16"/>
          <w:szCs w:val="15"/>
          <w:vertAlign w:val="superscript"/>
        </w:rPr>
      </w:pPr>
    </w:p>
    <w:p>
      <w:pPr>
        <w:pStyle w:val="4"/>
        <w:spacing w:before="2"/>
        <w:rPr>
          <w:rFonts w:ascii="Arial"/>
          <w:sz w:val="19"/>
        </w:rPr>
      </w:pPr>
      <w:bookmarkStart w:id="7" w:name="_GoBack"/>
      <w:bookmarkEnd w:id="7"/>
    </w:p>
    <w:sectPr>
      <w:type w:val="continuous"/>
      <w:pgSz w:w="11906" w:h="16838"/>
      <w:pgMar w:top="1440" w:right="567" w:bottom="144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Tw Cen MT">
    <w:altName w:val="Lucida Sans Unicode"/>
    <w:panose1 w:val="00000000000000000000"/>
    <w:charset w:val="00"/>
    <w:family w:val="swiss"/>
    <w:pitch w:val="default"/>
    <w:sig w:usb0="00000000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10" w:usb3="00000000" w:csb0="0004000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AdvOT5e4d79fc">
    <w:altName w:val="Malgun Gothic Semilight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Lucida Grande">
    <w:altName w:val="Arial"/>
    <w:panose1 w:val="00000000000000000000"/>
    <w:charset w:val="00"/>
    <w:family w:val="auto"/>
    <w:pitch w:val="default"/>
    <w:sig w:usb0="00000000" w:usb1="00000000" w:usb2="00000000" w:usb3="00000000" w:csb0="000001BF" w:csb1="00000000"/>
  </w:font>
  <w:font w:name="AdvOT1ef757c0">
    <w:altName w:val="Times New Roman"/>
    <w:panose1 w:val="00000000000000000000"/>
    <w:charset w:val="00"/>
    <w:family w:val="roman"/>
    <w:pitch w:val="default"/>
    <w:sig w:usb0="00000000" w:usb1="00000000" w:usb2="00000010" w:usb3="00000000" w:csb0="00040001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AdvOTf32ed098.B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B6E36"/>
    <w:multiLevelType w:val="multilevel"/>
    <w:tmpl w:val="7D5B6E36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DB5"/>
    <w:rsid w:val="001016AA"/>
    <w:rsid w:val="001B7D5F"/>
    <w:rsid w:val="001D3FAE"/>
    <w:rsid w:val="00224CD0"/>
    <w:rsid w:val="003360E0"/>
    <w:rsid w:val="0035521A"/>
    <w:rsid w:val="00367BC1"/>
    <w:rsid w:val="00392DB5"/>
    <w:rsid w:val="003A472A"/>
    <w:rsid w:val="00502DB6"/>
    <w:rsid w:val="006A423D"/>
    <w:rsid w:val="006B5140"/>
    <w:rsid w:val="00706FEC"/>
    <w:rsid w:val="0073617D"/>
    <w:rsid w:val="007422B5"/>
    <w:rsid w:val="00865419"/>
    <w:rsid w:val="008B39EB"/>
    <w:rsid w:val="00955DB1"/>
    <w:rsid w:val="00A444F8"/>
    <w:rsid w:val="00A468EE"/>
    <w:rsid w:val="00A75C5F"/>
    <w:rsid w:val="00A8116B"/>
    <w:rsid w:val="00AB11DD"/>
    <w:rsid w:val="00AB41F5"/>
    <w:rsid w:val="00B41449"/>
    <w:rsid w:val="00D42644"/>
    <w:rsid w:val="00E76C18"/>
    <w:rsid w:val="00E90127"/>
    <w:rsid w:val="00F32E33"/>
    <w:rsid w:val="00FA05D1"/>
    <w:rsid w:val="1FEF4B71"/>
    <w:rsid w:val="27E45A65"/>
    <w:rsid w:val="406C0641"/>
    <w:rsid w:val="57EC02C5"/>
    <w:rsid w:val="708A575B"/>
    <w:rsid w:val="70DF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1"/>
    <w:pPr>
      <w:spacing w:before="47" w:line="400" w:lineRule="exact"/>
      <w:ind w:left="100"/>
      <w:jc w:val="left"/>
      <w:outlineLvl w:val="0"/>
    </w:pPr>
    <w:rPr>
      <w:rFonts w:ascii="Minion Pro" w:hAnsi="Minion Pro" w:eastAsia="Minion Pro" w:cs="Minion Pro"/>
      <w:b/>
      <w:bCs/>
      <w:kern w:val="0"/>
      <w:sz w:val="36"/>
      <w:szCs w:val="36"/>
      <w:lang w:eastAsia="en-US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uiPriority w:val="99"/>
    <w:pPr>
      <w:jc w:val="left"/>
    </w:pPr>
    <w:rPr>
      <w:rFonts w:ascii="Tahoma" w:hAnsi="Tahoma" w:cs="Tahoma"/>
      <w:sz w:val="16"/>
      <w:szCs w:val="24"/>
    </w:rPr>
  </w:style>
  <w:style w:type="paragraph" w:styleId="4">
    <w:name w:val="Body Text"/>
    <w:basedOn w:val="1"/>
    <w:link w:val="14"/>
    <w:qFormat/>
    <w:uiPriority w:val="1"/>
    <w:pPr>
      <w:jc w:val="left"/>
    </w:pPr>
    <w:rPr>
      <w:rFonts w:ascii="Tw Cen MT" w:hAnsi="Tw Cen MT" w:eastAsia="Tw Cen MT" w:cs="Tw Cen MT"/>
      <w:kern w:val="0"/>
      <w:sz w:val="18"/>
      <w:szCs w:val="18"/>
      <w:lang w:eastAsia="en-US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标题 1 字符"/>
    <w:basedOn w:val="8"/>
    <w:link w:val="2"/>
    <w:qFormat/>
    <w:uiPriority w:val="1"/>
    <w:rPr>
      <w:rFonts w:ascii="Minion Pro" w:hAnsi="Minion Pro" w:eastAsia="Minion Pro" w:cs="Minion Pro"/>
      <w:b/>
      <w:bCs/>
      <w:kern w:val="0"/>
      <w:sz w:val="36"/>
      <w:szCs w:val="36"/>
      <w:lang w:eastAsia="en-US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正文文本 字符"/>
    <w:basedOn w:val="8"/>
    <w:link w:val="4"/>
    <w:qFormat/>
    <w:uiPriority w:val="1"/>
    <w:rPr>
      <w:rFonts w:ascii="Tw Cen MT" w:hAnsi="Tw Cen MT" w:eastAsia="Tw Cen MT" w:cs="Tw Cen MT"/>
      <w:kern w:val="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459</Words>
  <Characters>2621</Characters>
  <Lines>21</Lines>
  <Paragraphs>6</Paragraphs>
  <TotalTime>2</TotalTime>
  <ScaleCrop>false</ScaleCrop>
  <LinksUpToDate>false</LinksUpToDate>
  <CharactersWithSpaces>3074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2018-06-25T06:27:00Z</dcterms:created>
  <dc:creator>PC</dc:creator>
  <cp:lastModifiedBy>朱红芳（添财进宝）</cp:lastModifiedBy>
  <dcterms:modified xsi:type="dcterms:W3CDTF">2019-06-20T12:37:20Z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