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643E5A" w:rsidP="00494130">
      <w:pPr>
        <w:pStyle w:val="Titre1"/>
        <w:spacing w:before="170"/>
        <w:ind w:left="0"/>
      </w:pPr>
      <w:r w:rsidRPr="00643E5A">
        <w:rPr>
          <w:color w:val="337AB7"/>
        </w:rPr>
        <w:t xml:space="preserve">Potential Application of Selected Phosphate Solubilizing Bacteria Isolated from </w:t>
      </w:r>
      <w:proofErr w:type="spellStart"/>
      <w:r w:rsidRPr="00643E5A">
        <w:rPr>
          <w:color w:val="337AB7"/>
        </w:rPr>
        <w:t>Rhizospheric</w:t>
      </w:r>
      <w:proofErr w:type="spellEnd"/>
      <w:r w:rsidRPr="00643E5A">
        <w:rPr>
          <w:color w:val="337AB7"/>
        </w:rPr>
        <w:t xml:space="preserve"> Soil of Chenopodium quinoa in Plant Growth Promotion</w:t>
      </w:r>
    </w:p>
    <w:p w:rsidR="00643E5A" w:rsidRPr="007B4572" w:rsidRDefault="00643E5A" w:rsidP="00643E5A">
      <w:pPr>
        <w:rPr>
          <w:rFonts w:ascii="Sitka Banner" w:hAnsi="Sitka Banner"/>
        </w:rPr>
      </w:pPr>
      <w:r w:rsidRPr="007B4572">
        <w:rPr>
          <w:rFonts w:ascii="Sitka Banner" w:hAnsi="Sitka Banner"/>
          <w:bCs/>
        </w:rPr>
        <w:t xml:space="preserve">Ismail MAHDI </w:t>
      </w:r>
      <w:r w:rsidRPr="007B4572">
        <w:rPr>
          <w:rFonts w:ascii="Sitka Banner" w:hAnsi="Sitka Banner"/>
          <w:bCs/>
          <w:vertAlign w:val="superscript"/>
        </w:rPr>
        <w:t>ab</w:t>
      </w:r>
      <w:r w:rsidRPr="007B4572">
        <w:rPr>
          <w:rFonts w:ascii="Sitka Banner" w:hAnsi="Sitka Banner"/>
          <w:bCs/>
        </w:rPr>
        <w:t xml:space="preserve">, Nidal FAHSI </w:t>
      </w:r>
      <w:r w:rsidRPr="007B4572">
        <w:rPr>
          <w:rFonts w:ascii="Sitka Banner" w:hAnsi="Sitka Banner"/>
          <w:bCs/>
          <w:vertAlign w:val="superscript"/>
        </w:rPr>
        <w:t>a</w:t>
      </w:r>
      <w:r>
        <w:rPr>
          <w:rFonts w:ascii="Sitka Banner" w:hAnsi="Sitka Banner"/>
          <w:bCs/>
          <w:vertAlign w:val="superscript"/>
        </w:rPr>
        <w:t>c</w:t>
      </w:r>
      <w:r w:rsidRPr="007B4572">
        <w:rPr>
          <w:rFonts w:ascii="Sitka Banner" w:hAnsi="Sitka Banner"/>
          <w:bCs/>
        </w:rPr>
        <w:t xml:space="preserve">, Abdelmounaaim ALLAOUI </w:t>
      </w:r>
      <w:r w:rsidRPr="007B4572">
        <w:rPr>
          <w:rFonts w:ascii="Sitka Banner" w:hAnsi="Sitka Banner"/>
          <w:bCs/>
          <w:vertAlign w:val="superscript"/>
        </w:rPr>
        <w:t>a</w:t>
      </w:r>
      <w:r>
        <w:rPr>
          <w:rFonts w:ascii="Sitka Banner" w:hAnsi="Sitka Banner"/>
          <w:bCs/>
          <w:vertAlign w:val="superscript"/>
        </w:rPr>
        <w:t>c</w:t>
      </w:r>
      <w:r w:rsidRPr="007B4572">
        <w:rPr>
          <w:rFonts w:ascii="Sitka Banner" w:hAnsi="Sitka Banner"/>
          <w:bCs/>
        </w:rPr>
        <w:t xml:space="preserve">, Mohamed HAFIDI </w:t>
      </w:r>
      <w:r w:rsidRPr="007B4572">
        <w:rPr>
          <w:rFonts w:ascii="Sitka Banner" w:hAnsi="Sitka Banner"/>
          <w:bCs/>
          <w:vertAlign w:val="superscript"/>
        </w:rPr>
        <w:t xml:space="preserve">b </w:t>
      </w:r>
      <w:proofErr w:type="gramStart"/>
      <w:r w:rsidRPr="007B4572">
        <w:rPr>
          <w:rFonts w:ascii="Sitka Banner" w:hAnsi="Sitka Banner"/>
          <w:vertAlign w:val="superscript"/>
        </w:rPr>
        <w:t xml:space="preserve">¥ </w:t>
      </w:r>
      <w:r w:rsidRPr="007B4572">
        <w:rPr>
          <w:rFonts w:ascii="Sitka Banner" w:hAnsi="Sitka Banner"/>
          <w:bCs/>
        </w:rPr>
        <w:t>,</w:t>
      </w:r>
      <w:proofErr w:type="gramEnd"/>
      <w:r w:rsidRPr="007B4572">
        <w:rPr>
          <w:rFonts w:ascii="Sitka Banner" w:hAnsi="Sitka Banner"/>
          <w:bCs/>
        </w:rPr>
        <w:t xml:space="preserve"> Latefa BISKRI *</w:t>
      </w:r>
      <w:r w:rsidRPr="007B4572">
        <w:rPr>
          <w:rFonts w:ascii="Sitka Banner" w:hAnsi="Sitka Banner"/>
          <w:vertAlign w:val="superscript"/>
        </w:rPr>
        <w:t>a ¥</w:t>
      </w:r>
    </w:p>
    <w:p w:rsidR="00643E5A" w:rsidRPr="007B4572" w:rsidRDefault="00643E5A" w:rsidP="00643E5A">
      <w:pPr>
        <w:rPr>
          <w:rFonts w:ascii="Sitka Banner" w:hAnsi="Sitka Banner"/>
        </w:rPr>
      </w:pPr>
      <w:r w:rsidRPr="007B4572">
        <w:rPr>
          <w:rFonts w:ascii="Sitka Banner" w:hAnsi="Sitka Banner"/>
          <w:bCs/>
          <w:vertAlign w:val="superscript"/>
        </w:rPr>
        <w:t xml:space="preserve">a </w:t>
      </w:r>
      <w:r w:rsidRPr="007B4572">
        <w:rPr>
          <w:rFonts w:ascii="Sitka Banner" w:hAnsi="Sitka Banner"/>
        </w:rPr>
        <w:t xml:space="preserve">Medical Application Interface Center (CIAM), Mohammed VI Polytechnic University – </w:t>
      </w:r>
      <w:proofErr w:type="spellStart"/>
      <w:r w:rsidRPr="007B4572">
        <w:rPr>
          <w:rFonts w:ascii="Sitka Banner" w:hAnsi="Sitka Banner"/>
        </w:rPr>
        <w:t>Benguerir</w:t>
      </w:r>
      <w:proofErr w:type="spellEnd"/>
      <w:r w:rsidRPr="007B4572">
        <w:rPr>
          <w:rFonts w:ascii="Sitka Banner" w:hAnsi="Sitka Banner"/>
        </w:rPr>
        <w:t>, Morocco.</w:t>
      </w:r>
    </w:p>
    <w:p w:rsidR="00643E5A" w:rsidRDefault="00643E5A" w:rsidP="00643E5A">
      <w:pPr>
        <w:rPr>
          <w:rFonts w:ascii="Sitka Banner" w:hAnsi="Sitka Banner"/>
        </w:rPr>
      </w:pPr>
      <w:r w:rsidRPr="007B4572">
        <w:rPr>
          <w:rFonts w:ascii="Sitka Banner" w:hAnsi="Sitka Banner"/>
          <w:bCs/>
          <w:vertAlign w:val="superscript"/>
        </w:rPr>
        <w:t xml:space="preserve">b </w:t>
      </w:r>
      <w:r w:rsidRPr="007B4572">
        <w:rPr>
          <w:rFonts w:ascii="Sitka Banner" w:hAnsi="Sitka Banner"/>
        </w:rPr>
        <w:t xml:space="preserve">Laboratory of Ecology and Environment (L2E), Faculty of Sciences </w:t>
      </w:r>
      <w:proofErr w:type="spellStart"/>
      <w:r w:rsidRPr="007B4572">
        <w:rPr>
          <w:rFonts w:ascii="Sitka Banner" w:hAnsi="Sitka Banner"/>
        </w:rPr>
        <w:t>Semlalia</w:t>
      </w:r>
      <w:proofErr w:type="spellEnd"/>
      <w:r w:rsidRPr="007B4572">
        <w:rPr>
          <w:rFonts w:ascii="Sitka Banner" w:hAnsi="Sitka Banner"/>
        </w:rPr>
        <w:t xml:space="preserve">, University Cadi </w:t>
      </w:r>
      <w:proofErr w:type="spellStart"/>
      <w:r w:rsidRPr="007B4572">
        <w:rPr>
          <w:rFonts w:ascii="Sitka Banner" w:hAnsi="Sitka Banner"/>
        </w:rPr>
        <w:t>Ayyad</w:t>
      </w:r>
      <w:proofErr w:type="spellEnd"/>
      <w:r w:rsidRPr="007B4572">
        <w:rPr>
          <w:rFonts w:ascii="Sitka Banner" w:hAnsi="Sitka Banner"/>
        </w:rPr>
        <w:t>, Marrakesh,</w:t>
      </w:r>
      <w:r>
        <w:rPr>
          <w:rFonts w:ascii="Sitka Banner" w:hAnsi="Sitka Banner"/>
        </w:rPr>
        <w:t xml:space="preserve"> </w:t>
      </w:r>
      <w:r w:rsidRPr="007B4572">
        <w:rPr>
          <w:rFonts w:ascii="Sitka Banner" w:hAnsi="Sitka Banner"/>
        </w:rPr>
        <w:t>Morocco.</w:t>
      </w:r>
    </w:p>
    <w:p w:rsidR="00AE3E37" w:rsidRDefault="00643E5A" w:rsidP="00643E5A">
      <w:pPr>
        <w:pStyle w:val="Corpsdetexte"/>
        <w:rPr>
          <w:rFonts w:ascii="Arial"/>
          <w:sz w:val="20"/>
        </w:rPr>
      </w:pPr>
      <w:r w:rsidRPr="00FC7F96">
        <w:rPr>
          <w:rFonts w:ascii="Sitka Banner" w:hAnsi="Sitka Banner"/>
          <w:bCs/>
          <w:vertAlign w:val="superscript"/>
        </w:rPr>
        <w:t>c</w:t>
      </w:r>
      <w:r>
        <w:rPr>
          <w:rFonts w:ascii="Sitka Banner" w:hAnsi="Sitka Banner"/>
          <w:bCs/>
          <w:vertAlign w:val="superscript"/>
        </w:rPr>
        <w:t xml:space="preserve"> </w:t>
      </w:r>
      <w:r w:rsidRPr="00FC7F96">
        <w:rPr>
          <w:rFonts w:ascii="Sitka Banner" w:hAnsi="Sitka Banner"/>
        </w:rPr>
        <w:t>Microbial Biotechnology Applied to Agriculture and Environment: Program MBAE (</w:t>
      </w:r>
      <w:proofErr w:type="spellStart"/>
      <w:r w:rsidRPr="00FC7F96">
        <w:rPr>
          <w:rFonts w:ascii="Sitka Banner" w:hAnsi="Sitka Banner"/>
        </w:rPr>
        <w:t>AgroBioScience</w:t>
      </w:r>
      <w:proofErr w:type="spellEnd"/>
      <w:r w:rsidRPr="00FC7F96">
        <w:rPr>
          <w:rFonts w:ascii="Sitka Banner" w:hAnsi="Sitka Banner"/>
        </w:rPr>
        <w:t xml:space="preserve">), </w:t>
      </w:r>
      <w:r w:rsidRPr="007B4572">
        <w:rPr>
          <w:rFonts w:ascii="Sitka Banner" w:hAnsi="Sitka Banner"/>
        </w:rPr>
        <w:t xml:space="preserve">Mohammed VI Polytechnic University – </w:t>
      </w:r>
      <w:proofErr w:type="spellStart"/>
      <w:r w:rsidRPr="007B4572">
        <w:rPr>
          <w:rFonts w:ascii="Sitka Banner" w:hAnsi="Sitka Banner"/>
        </w:rPr>
        <w:t>Benguerir</w:t>
      </w:r>
      <w:proofErr w:type="spellEnd"/>
      <w:r w:rsidRPr="007B4572">
        <w:rPr>
          <w:rFonts w:ascii="Sitka Banner" w:hAnsi="Sitka Banner"/>
        </w:rPr>
        <w:t>, Morocco.</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w:t>
      </w:r>
    </w:p>
    <w:p w:rsidR="00643E5A" w:rsidRPr="00643E5A" w:rsidRDefault="00643E5A" w:rsidP="00643E5A">
      <w:pPr>
        <w:jc w:val="both"/>
        <w:rPr>
          <w:rFonts w:asciiTheme="majorBidi" w:hAnsiTheme="majorBidi" w:cstheme="majorBidi"/>
          <w:sz w:val="24"/>
        </w:rPr>
      </w:pPr>
      <w:r w:rsidRPr="00643E5A">
        <w:rPr>
          <w:rFonts w:asciiTheme="majorBidi" w:hAnsiTheme="majorBidi" w:cstheme="majorBidi"/>
          <w:sz w:val="24"/>
        </w:rPr>
        <w:t xml:space="preserve">The use of plant growth promoting bacteria as biofertilizers provides a promising solution to enhance assimilation of nutrients carried by chemical fertilization. Phosphate solubilization is one of the major mechanisms of plant growth promotion by plant associated microorganisms. This involves bacteria release of low molecular weight molecules which solubilize the phosphate complexes converting them into ortho-phosphate available for plant uptake. In the present study, we screened 14 strains isolated from the </w:t>
      </w:r>
      <w:proofErr w:type="spellStart"/>
      <w:r w:rsidRPr="00643E5A">
        <w:rPr>
          <w:rFonts w:asciiTheme="majorBidi" w:hAnsiTheme="majorBidi" w:cstheme="majorBidi"/>
          <w:sz w:val="24"/>
        </w:rPr>
        <w:t>rhizospheric</w:t>
      </w:r>
      <w:proofErr w:type="spellEnd"/>
      <w:r w:rsidRPr="00643E5A">
        <w:rPr>
          <w:rFonts w:asciiTheme="majorBidi" w:hAnsiTheme="majorBidi" w:cstheme="majorBidi"/>
          <w:sz w:val="24"/>
        </w:rPr>
        <w:t xml:space="preserve"> soil of </w:t>
      </w:r>
      <w:r w:rsidRPr="00643E5A">
        <w:rPr>
          <w:rFonts w:asciiTheme="majorBidi" w:hAnsiTheme="majorBidi" w:cstheme="majorBidi"/>
          <w:i/>
          <w:sz w:val="24"/>
        </w:rPr>
        <w:t>Chenopodium quinoa</w:t>
      </w:r>
      <w:r w:rsidRPr="00643E5A">
        <w:rPr>
          <w:rFonts w:asciiTheme="majorBidi" w:hAnsiTheme="majorBidi" w:cstheme="majorBidi"/>
          <w:sz w:val="24"/>
        </w:rPr>
        <w:t xml:space="preserve"> plant grown in the experimental farm of </w:t>
      </w:r>
      <w:r w:rsidRPr="00643E5A">
        <w:rPr>
          <w:rFonts w:asciiTheme="majorBidi" w:hAnsiTheme="majorBidi" w:cstheme="majorBidi"/>
          <w:color w:val="000000" w:themeColor="text1"/>
          <w:sz w:val="24"/>
        </w:rPr>
        <w:t>UM6P</w:t>
      </w:r>
      <w:r w:rsidRPr="00643E5A">
        <w:rPr>
          <w:rFonts w:asciiTheme="majorBidi" w:hAnsiTheme="majorBidi" w:cstheme="majorBidi"/>
          <w:sz w:val="24"/>
        </w:rPr>
        <w:t xml:space="preserve"> for plant growth promoting properties including their ability to solubilize phosphate, to produce indole acetic acid (IAA), and to tolerate salt stress. The isolated bacteria were first selected based on colony morphology and biochemical traits. Next, they were identified using 16S-rRNA DNA gene sequencing as Bacillus, Pseudomonas and Enterobacter. These strains showed dispersed capacities to solubilize phosphate (123,66 ± 2,51 ~ 346 ± 8,71 mg L</w:t>
      </w:r>
      <w:r w:rsidRPr="00643E5A">
        <w:rPr>
          <w:rFonts w:asciiTheme="majorBidi" w:hAnsiTheme="majorBidi" w:cstheme="majorBidi"/>
          <w:sz w:val="24"/>
          <w:vertAlign w:val="superscript"/>
        </w:rPr>
        <w:t>−1</w:t>
      </w:r>
      <w:r w:rsidRPr="00643E5A">
        <w:rPr>
          <w:rFonts w:asciiTheme="majorBidi" w:hAnsiTheme="majorBidi" w:cstheme="majorBidi"/>
          <w:sz w:val="24"/>
        </w:rPr>
        <w:t>) following 5 days of incubation at 30°C. We also assessed their abilities for indole acetic acid (IAA) production (43,39 ±6,18 ~795,31± 80,06 µg ml</w:t>
      </w:r>
      <w:r w:rsidRPr="00643E5A">
        <w:rPr>
          <w:rFonts w:asciiTheme="majorBidi" w:hAnsiTheme="majorBidi" w:cstheme="majorBidi"/>
          <w:sz w:val="24"/>
          <w:vertAlign w:val="superscript"/>
        </w:rPr>
        <w:t>−1</w:t>
      </w:r>
      <w:r w:rsidRPr="00643E5A">
        <w:rPr>
          <w:rFonts w:asciiTheme="majorBidi" w:hAnsiTheme="majorBidi" w:cstheme="majorBidi"/>
          <w:sz w:val="24"/>
        </w:rPr>
        <w:t xml:space="preserve">) and salt tolerance. Three Bacillus strains QA1, QA2, and S8 tolerated high salt stress induced by NaCl with a maximum tolerable concentration of 8% and total </w:t>
      </w:r>
      <w:r w:rsidRPr="00643E5A">
        <w:rPr>
          <w:rFonts w:asciiTheme="majorBidi" w:hAnsiTheme="majorBidi" w:cstheme="majorBidi"/>
          <w:sz w:val="24"/>
        </w:rPr>
        <w:t>inhibition of growth occurred at 14%. Four performant isolates, S6, QA1, QA2 and QF11, were further selected for seed germination assay because of their pronounced abilities in terms of phosphate solubilization, IAA production and salt tolerance. The early plant growth potential of tested strains showed that inoculated seeds displayed greater germination rate (16.6~50.7%) and higher growth (</w:t>
      </w:r>
      <w:r w:rsidRPr="00643E5A">
        <w:rPr>
          <w:rFonts w:asciiTheme="majorBidi" w:hAnsiTheme="majorBidi" w:cstheme="majorBidi"/>
          <w:sz w:val="24"/>
          <w:szCs w:val="24"/>
        </w:rPr>
        <w:t xml:space="preserve">50.5% </w:t>
      </w:r>
      <w:r w:rsidRPr="00643E5A">
        <w:rPr>
          <w:rFonts w:asciiTheme="majorBidi" w:hAnsiTheme="majorBidi" w:cstheme="majorBidi"/>
          <w:sz w:val="24"/>
        </w:rPr>
        <w:t>~</w:t>
      </w:r>
      <w:r w:rsidRPr="00643E5A">
        <w:rPr>
          <w:rFonts w:asciiTheme="majorBidi" w:hAnsiTheme="majorBidi" w:cstheme="majorBidi"/>
          <w:sz w:val="24"/>
          <w:szCs w:val="24"/>
        </w:rPr>
        <w:t xml:space="preserve"> 281%)</w:t>
      </w:r>
      <w:r w:rsidRPr="00643E5A">
        <w:rPr>
          <w:rFonts w:asciiTheme="majorBidi" w:hAnsiTheme="majorBidi" w:cstheme="majorBidi"/>
          <w:sz w:val="24"/>
        </w:rPr>
        <w:t xml:space="preserve"> under bacterium treatments. The relevant positive effect on seed germination traits strongly suggest that tested strains are growth promoting, halotolerant and phosphate solubilizing bacteria which could be exploited as biofertilizers. This hypothesis is currently under investigation </w:t>
      </w:r>
      <w:r w:rsidRPr="00643E5A">
        <w:rPr>
          <w:rFonts w:asciiTheme="majorBidi" w:hAnsiTheme="majorBidi" w:cstheme="majorBidi"/>
          <w:i/>
          <w:sz w:val="24"/>
        </w:rPr>
        <w:t>in vivo</w:t>
      </w:r>
      <w:r w:rsidRPr="00643E5A">
        <w:rPr>
          <w:rFonts w:asciiTheme="majorBidi" w:hAnsiTheme="majorBidi" w:cstheme="majorBidi"/>
          <w:sz w:val="24"/>
        </w:rPr>
        <w:t>.</w:t>
      </w:r>
    </w:p>
    <w:p w:rsidR="00643E5A" w:rsidRDefault="00643E5A" w:rsidP="00643E5A">
      <w:pPr>
        <w:pStyle w:val="Titre3"/>
        <w:spacing w:before="74"/>
        <w:ind w:left="0"/>
        <w:rPr>
          <w:color w:val="BF5A14"/>
        </w:rPr>
      </w:pPr>
    </w:p>
    <w:p w:rsidR="00AE3E37" w:rsidRDefault="00A9710C">
      <w:pPr>
        <w:pStyle w:val="Titre3"/>
        <w:spacing w:before="74"/>
      </w:pPr>
      <w:r>
        <w:rPr>
          <w:color w:val="BF5A14"/>
        </w:rPr>
        <w:t>Image</w:t>
      </w:r>
    </w:p>
    <w:p w:rsidR="00AE3E37" w:rsidRDefault="00643E5A">
      <w:pPr>
        <w:pStyle w:val="Corpsdetexte"/>
        <w:spacing w:before="2"/>
        <w:rPr>
          <w:rFonts w:ascii="Arial"/>
          <w:b/>
          <w:sz w:val="16"/>
        </w:rPr>
      </w:pPr>
      <w:r>
        <w:rPr>
          <w:noProof/>
        </w:rPr>
        <w:drawing>
          <wp:inline distT="0" distB="0" distL="0" distR="0" wp14:anchorId="456E0F4D" wp14:editId="65A8123D">
            <wp:extent cx="3165475" cy="139954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399540"/>
                    </a:xfrm>
                    <a:prstGeom prst="rect">
                      <a:avLst/>
                    </a:prstGeom>
                  </pic:spPr>
                </pic:pic>
              </a:graphicData>
            </a:graphic>
          </wp:inline>
        </w:drawing>
      </w:r>
    </w:p>
    <w:p w:rsidR="005973B9" w:rsidRDefault="005973B9" w:rsidP="00643E5A">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C13D4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43E5A">
        <w:rPr>
          <w:noProof/>
        </w:rPr>
        <w:drawing>
          <wp:inline distT="0" distB="0" distL="0" distR="0">
            <wp:extent cx="980742" cy="1025525"/>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2986" cy="1059241"/>
                    </a:xfrm>
                    <a:prstGeom prst="rect">
                      <a:avLst/>
                    </a:prstGeom>
                    <a:noFill/>
                    <a:ln>
                      <a:noFill/>
                    </a:ln>
                  </pic:spPr>
                </pic:pic>
              </a:graphicData>
            </a:graphic>
          </wp:inline>
        </w:drawing>
      </w:r>
      <w:r w:rsidR="00643E5A">
        <w:rPr>
          <w:noProof/>
        </w:rPr>
        <w:t xml:space="preserve">   </w:t>
      </w:r>
      <w:r w:rsidR="00A9710C">
        <w:rPr>
          <w:rFonts w:ascii="Arial"/>
          <w:color w:val="BF5A14"/>
        </w:rPr>
        <w:t>Biography</w:t>
      </w:r>
      <w:r w:rsidR="00404E5B">
        <w:rPr>
          <w:rFonts w:ascii="Arial"/>
          <w:color w:val="BF5A14"/>
        </w:rPr>
        <w:t xml:space="preserve"> </w:t>
      </w:r>
      <w:bookmarkStart w:id="0" w:name="_GoBack"/>
      <w:bookmarkEnd w:id="0"/>
    </w:p>
    <w:p w:rsidR="002E547D" w:rsidRPr="00643E5A" w:rsidRDefault="00643E5A" w:rsidP="00643E5A">
      <w:pPr>
        <w:autoSpaceDE w:val="0"/>
        <w:autoSpaceDN w:val="0"/>
        <w:adjustRightInd w:val="0"/>
      </w:pPr>
      <w:r>
        <w:t xml:space="preserve">Ismail MAHDI is a second year PhD student at Mohamed VI Polytechnic University – Morocco. His doctoral research investigates the </w:t>
      </w:r>
      <w:r w:rsidRPr="00D763B8">
        <w:t xml:space="preserve">biochemical and molecular mechanisms involved in the solubilization of phosphates and salt stress tolerance of </w:t>
      </w:r>
      <w:proofErr w:type="spellStart"/>
      <w:r w:rsidRPr="00D763B8">
        <w:t>rhizospheric</w:t>
      </w:r>
      <w:proofErr w:type="spellEnd"/>
      <w:r w:rsidRPr="00D763B8">
        <w:t xml:space="preserve"> and endophytic </w:t>
      </w:r>
      <w:proofErr w:type="spellStart"/>
      <w:proofErr w:type="gramStart"/>
      <w:r w:rsidRPr="00D763B8">
        <w:t>bacteri</w:t>
      </w:r>
      <w:r>
        <w:t>a.He</w:t>
      </w:r>
      <w:proofErr w:type="spellEnd"/>
      <w:proofErr w:type="gramEnd"/>
      <w:r>
        <w:t xml:space="preserve"> holds a master’s degree in Health and biology from the University of Fez, Morocco, and a bachelor’s degree in Cellular and molecular biology from the University of Agadir, Morocco. </w:t>
      </w:r>
      <w:r w:rsidR="003F175B" w:rsidRPr="002E547D">
        <w:rPr>
          <w:sz w:val="18"/>
          <w:szCs w:val="18"/>
        </w:rPr>
        <w:t xml:space="preserve">   </w:t>
      </w:r>
    </w:p>
    <w:p w:rsidR="00AE3E37" w:rsidRPr="00643E5A" w:rsidRDefault="003F175B" w:rsidP="00643E5A">
      <w:pPr>
        <w:rPr>
          <w:rFonts w:ascii="Sitka Banner" w:hAnsi="Sitka Banner"/>
          <w:sz w:val="40"/>
        </w:rPr>
      </w:pPr>
      <w:r>
        <w:rPr>
          <w:rFonts w:ascii="Arial"/>
          <w:sz w:val="14"/>
        </w:rPr>
        <w:t xml:space="preserve">                                                                                </w:t>
      </w:r>
      <w:r w:rsidR="00A9710C">
        <w:rPr>
          <w:rFonts w:ascii="Arial"/>
          <w:sz w:val="14"/>
        </w:rPr>
        <w:t xml:space="preserve">Email: </w:t>
      </w:r>
      <w:hyperlink r:id="rId11" w:history="1">
        <w:r w:rsidR="00643E5A" w:rsidRPr="00D10F82">
          <w:rPr>
            <w:rStyle w:val="Lienhypertexte"/>
            <w:rFonts w:ascii="Sitka Banner" w:hAnsi="Sitka Banner"/>
            <w:i/>
            <w:iCs/>
          </w:rPr>
          <w:t>ismail.MAHDI@um6p.ma</w:t>
        </w:r>
      </w:hyperlink>
      <w:r w:rsidR="00643E5A">
        <w:rPr>
          <w:rFonts w:ascii="Sitka Banner" w:hAnsi="Sitka Banner"/>
          <w:sz w:val="40"/>
        </w:rPr>
        <w:t xml:space="preserve"> </w:t>
      </w:r>
      <w:r w:rsidRPr="003F175B">
        <w:rPr>
          <w:rStyle w:val="Lienhypertexte"/>
          <w:rFonts w:ascii="Arial"/>
          <w:sz w:val="14"/>
          <w:u w:val="none"/>
        </w:rPr>
        <w:t xml:space="preserve"> </w:t>
      </w:r>
      <w:r w:rsidRPr="00364417">
        <w:rPr>
          <w:rStyle w:val="Lienhypertexte"/>
          <w:rFonts w:ascii="Arial"/>
          <w:color w:val="auto"/>
          <w:sz w:val="14"/>
          <w:u w:val="none"/>
        </w:rPr>
        <w:t>Contact No</w:t>
      </w:r>
      <w:r w:rsidRPr="003F175B">
        <w:rPr>
          <w:rStyle w:val="Lienhypertexte"/>
          <w:rFonts w:ascii="Arial"/>
          <w:sz w:val="14"/>
          <w:u w:val="none"/>
        </w:rPr>
        <w:t xml:space="preserve">: </w:t>
      </w:r>
      <w:r w:rsidR="00643E5A">
        <w:rPr>
          <w:rStyle w:val="Lienhypertexte"/>
          <w:rFonts w:ascii="Arial"/>
          <w:sz w:val="14"/>
          <w:u w:val="none"/>
        </w:rPr>
        <w:t>00212652074039</w:t>
      </w:r>
    </w:p>
    <w:p w:rsidR="00AE3E37" w:rsidRDefault="00292ED9">
      <w:pPr>
        <w:pStyle w:val="Corpsdetex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4BF1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877" w:rsidRDefault="00445877">
      <w:r>
        <w:separator/>
      </w:r>
    </w:p>
  </w:endnote>
  <w:endnote w:type="continuationSeparator" w:id="0">
    <w:p w:rsidR="00445877" w:rsidRDefault="00445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tka Banner">
    <w:panose1 w:val="02000505000000020004"/>
    <w:charset w:val="00"/>
    <w:family w:val="auto"/>
    <w:pitch w:val="variable"/>
    <w:sig w:usb0="A00002EF" w:usb1="4000204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877" w:rsidRDefault="00445877">
      <w:r>
        <w:separator/>
      </w:r>
    </w:p>
  </w:footnote>
  <w:footnote w:type="continuationSeparator" w:id="0">
    <w:p w:rsidR="00445877" w:rsidRDefault="00445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43E5A" w:rsidRDefault="00A9710C">
                          <w:pPr>
                            <w:spacing w:before="2" w:line="249" w:lineRule="auto"/>
                            <w:ind w:left="156" w:right="18" w:hanging="137"/>
                            <w:rPr>
                              <w:rFonts w:ascii="Arial"/>
                              <w:color w:val="FFFFFF" w:themeColor="background1"/>
                              <w:sz w:val="14"/>
                              <w:lang w:val="fr-FR"/>
                            </w:rPr>
                          </w:pPr>
                          <w:r w:rsidRPr="00643E5A">
                            <w:rPr>
                              <w:rFonts w:ascii="Arial"/>
                              <w:color w:val="FFFFFF" w:themeColor="background1"/>
                              <w:sz w:val="14"/>
                              <w:lang w:val="fr-FR"/>
                            </w:rPr>
                            <w:t xml:space="preserve">T Furuta et al., J Pai n Relief 2016, 5:3(Suppl) </w:t>
                          </w:r>
                          <w:r w:rsidR="00445877">
                            <w:rPr>
                              <w:rFonts w:ascii="Arial"/>
                              <w:color w:val="FFFFFF" w:themeColor="background1"/>
                              <w:sz w:val="14"/>
                            </w:rPr>
                            <w:fldChar w:fldCharType="begin"/>
                          </w:r>
                          <w:r w:rsidR="00445877" w:rsidRPr="00643E5A">
                            <w:rPr>
                              <w:rFonts w:ascii="Arial"/>
                              <w:color w:val="FFFFFF" w:themeColor="background1"/>
                              <w:sz w:val="14"/>
                              <w:lang w:val="fr-FR"/>
                            </w:rPr>
                            <w:instrText xml:space="preserve"> HYPERLINK "http://dx.doi.org/10.4172/2167-0846.C1.006" \h </w:instrText>
                          </w:r>
                          <w:r w:rsidR="00445877">
                            <w:rPr>
                              <w:rFonts w:ascii="Arial"/>
                              <w:color w:val="FFFFFF" w:themeColor="background1"/>
                              <w:sz w:val="14"/>
                            </w:rPr>
                            <w:fldChar w:fldCharType="separate"/>
                          </w:r>
                          <w:r w:rsidRPr="00643E5A">
                            <w:rPr>
                              <w:rFonts w:ascii="Arial"/>
                              <w:color w:val="FFFFFF" w:themeColor="background1"/>
                              <w:sz w:val="14"/>
                              <w:lang w:val="fr-FR"/>
                            </w:rPr>
                            <w:t>http://dx.doi.org/10.4172/2167-0846.C1.006</w:t>
                          </w:r>
                          <w:r w:rsidR="00445877">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43E5A" w:rsidRDefault="00A9710C">
                    <w:pPr>
                      <w:spacing w:before="2" w:line="249" w:lineRule="auto"/>
                      <w:ind w:left="156" w:right="18" w:hanging="137"/>
                      <w:rPr>
                        <w:rFonts w:ascii="Arial"/>
                        <w:color w:val="FFFFFF" w:themeColor="background1"/>
                        <w:sz w:val="14"/>
                        <w:lang w:val="fr-FR"/>
                      </w:rPr>
                    </w:pPr>
                    <w:r w:rsidRPr="00643E5A">
                      <w:rPr>
                        <w:rFonts w:ascii="Arial"/>
                        <w:color w:val="FFFFFF" w:themeColor="background1"/>
                        <w:sz w:val="14"/>
                        <w:lang w:val="fr-FR"/>
                      </w:rPr>
                      <w:t xml:space="preserve">T Furuta et al., J Pai n Relief 2016, 5:3(Suppl) </w:t>
                    </w:r>
                    <w:r w:rsidR="00445877">
                      <w:rPr>
                        <w:rFonts w:ascii="Arial"/>
                        <w:color w:val="FFFFFF" w:themeColor="background1"/>
                        <w:sz w:val="14"/>
                      </w:rPr>
                      <w:fldChar w:fldCharType="begin"/>
                    </w:r>
                    <w:r w:rsidR="00445877" w:rsidRPr="00643E5A">
                      <w:rPr>
                        <w:rFonts w:ascii="Arial"/>
                        <w:color w:val="FFFFFF" w:themeColor="background1"/>
                        <w:sz w:val="14"/>
                        <w:lang w:val="fr-FR"/>
                      </w:rPr>
                      <w:instrText xml:space="preserve"> HYPERLINK "http://dx.doi.org/10.4172/2167-0846.C1.006" \h </w:instrText>
                    </w:r>
                    <w:r w:rsidR="00445877">
                      <w:rPr>
                        <w:rFonts w:ascii="Arial"/>
                        <w:color w:val="FFFFFF" w:themeColor="background1"/>
                        <w:sz w:val="14"/>
                      </w:rPr>
                      <w:fldChar w:fldCharType="separate"/>
                    </w:r>
                    <w:r w:rsidRPr="00643E5A">
                      <w:rPr>
                        <w:rFonts w:ascii="Arial"/>
                        <w:color w:val="FFFFFF" w:themeColor="background1"/>
                        <w:sz w:val="14"/>
                        <w:lang w:val="fr-FR"/>
                      </w:rPr>
                      <w:t>http://dx.doi.org/10.4172/2167-0846.C1.006</w:t>
                    </w:r>
                    <w:r w:rsidR="00445877">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2E547D"/>
    <w:rsid w:val="00364417"/>
    <w:rsid w:val="003F175B"/>
    <w:rsid w:val="00404E5B"/>
    <w:rsid w:val="00414F7B"/>
    <w:rsid w:val="004355DC"/>
    <w:rsid w:val="00445877"/>
    <w:rsid w:val="004749B4"/>
    <w:rsid w:val="00494130"/>
    <w:rsid w:val="004F3523"/>
    <w:rsid w:val="005655EB"/>
    <w:rsid w:val="005973B9"/>
    <w:rsid w:val="005B3A56"/>
    <w:rsid w:val="005C7B1E"/>
    <w:rsid w:val="006060CE"/>
    <w:rsid w:val="0063497F"/>
    <w:rsid w:val="00643E5A"/>
    <w:rsid w:val="00782212"/>
    <w:rsid w:val="00873DF0"/>
    <w:rsid w:val="008756E6"/>
    <w:rsid w:val="009B2D44"/>
    <w:rsid w:val="00A07E82"/>
    <w:rsid w:val="00A4755C"/>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0A7EA"/>
  <w15:docId w15:val="{A0990E01-869F-4C1B-82A4-817F7D367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Els-Abstract-head">
    <w:name w:val="Els-Abstract-head"/>
    <w:next w:val="Normal"/>
    <w:rsid w:val="00643E5A"/>
    <w:pPr>
      <w:keepNext/>
      <w:widowControl/>
      <w:pBdr>
        <w:top w:val="single" w:sz="4" w:space="10" w:color="auto"/>
      </w:pBdr>
      <w:suppressAutoHyphens/>
      <w:spacing w:before="240" w:after="220" w:line="220" w:lineRule="exact"/>
    </w:pPr>
    <w:rPr>
      <w:rFonts w:ascii="Times New Roman" w:eastAsia="SimSun" w:hAnsi="Times New Roman" w:cs="Times New Roman"/>
      <w:b/>
      <w:sz w:val="18"/>
      <w:szCs w:val="20"/>
    </w:rPr>
  </w:style>
  <w:style w:type="character" w:styleId="Mentionnonrsolue">
    <w:name w:val="Unresolved Mention"/>
    <w:basedOn w:val="Policepardfaut"/>
    <w:uiPriority w:val="99"/>
    <w:semiHidden/>
    <w:unhideWhenUsed/>
    <w:rsid w:val="00643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smail.MAHDI@um6p.m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2889</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Ismail MAHDI</cp:lastModifiedBy>
  <cp:revision>2</cp:revision>
  <dcterms:created xsi:type="dcterms:W3CDTF">2019-06-08T13:42:00Z</dcterms:created>
  <dcterms:modified xsi:type="dcterms:W3CDTF">2019-06-08T13:42:00Z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