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76D9" w:rsidRPr="001A7D08" w:rsidRDefault="004320C3" w:rsidP="00494C53">
      <w:pPr>
        <w:spacing w:line="400" w:lineRule="exact"/>
        <w:rPr>
          <w:rFonts w:ascii="Minion Pro" w:eastAsia="標楷體" w:hAnsi="Minion Pro"/>
          <w:b/>
          <w:kern w:val="0"/>
          <w:sz w:val="28"/>
          <w:szCs w:val="28"/>
          <w:lang w:val="en-GB"/>
        </w:rPr>
      </w:pPr>
      <w:r w:rsidRPr="00DE0229">
        <w:rPr>
          <w:rFonts w:ascii="Minion Pro" w:hAnsi="Minion Pro"/>
          <w:b/>
          <w:spacing w:val="1"/>
          <w:sz w:val="28"/>
          <w:szCs w:val="28"/>
          <w:lang w:val="en-GB"/>
        </w:rPr>
        <w:t xml:space="preserve">A non-chemical approach for controlling Panama disease occurrence in Taiwan with the essential oil of </w:t>
      </w:r>
      <w:r w:rsidRPr="005A269B">
        <w:rPr>
          <w:rFonts w:ascii="Minion Pro" w:hAnsi="Minion Pro"/>
          <w:b/>
          <w:i/>
          <w:spacing w:val="1"/>
          <w:sz w:val="28"/>
          <w:szCs w:val="28"/>
          <w:lang w:val="en-GB"/>
        </w:rPr>
        <w:t xml:space="preserve">Biden </w:t>
      </w:r>
      <w:proofErr w:type="spellStart"/>
      <w:r w:rsidRPr="005A269B">
        <w:rPr>
          <w:rFonts w:ascii="Minion Pro" w:hAnsi="Minion Pro"/>
          <w:b/>
          <w:i/>
          <w:spacing w:val="1"/>
          <w:sz w:val="28"/>
          <w:szCs w:val="28"/>
          <w:lang w:val="en-GB"/>
        </w:rPr>
        <w:t>pilosa</w:t>
      </w:r>
      <w:proofErr w:type="spellEnd"/>
    </w:p>
    <w:p w:rsidR="006976D9" w:rsidRPr="00DE0229" w:rsidRDefault="006976D9" w:rsidP="00494C53">
      <w:pPr>
        <w:spacing w:line="200" w:lineRule="exact"/>
        <w:rPr>
          <w:rFonts w:ascii="Arial" w:hAnsi="Arial" w:cs="Arial"/>
          <w:sz w:val="18"/>
          <w:szCs w:val="18"/>
        </w:rPr>
      </w:pPr>
      <w:r w:rsidRPr="00DE0229">
        <w:rPr>
          <w:rFonts w:ascii="Arial" w:eastAsia="標楷體" w:hAnsi="Arial" w:cs="Arial"/>
          <w:sz w:val="18"/>
          <w:szCs w:val="18"/>
        </w:rPr>
        <w:t>Wu, Zhong-Bin</w:t>
      </w:r>
      <w:r w:rsidRPr="00DE0229">
        <w:rPr>
          <w:rFonts w:ascii="Arial" w:eastAsia="標楷體" w:hAnsi="Arial" w:cs="Arial"/>
          <w:sz w:val="18"/>
          <w:szCs w:val="18"/>
          <w:vertAlign w:val="superscript"/>
        </w:rPr>
        <w:t>1</w:t>
      </w:r>
      <w:r w:rsidR="00FA24ED" w:rsidRPr="00DE0229">
        <w:rPr>
          <w:rFonts w:ascii="Arial" w:eastAsia="標楷體" w:hAnsi="Arial" w:cs="Arial"/>
          <w:sz w:val="18"/>
          <w:szCs w:val="18"/>
        </w:rPr>
        <w:t xml:space="preserve">, </w:t>
      </w:r>
      <w:r w:rsidR="00895DB7" w:rsidRPr="00DE0229">
        <w:rPr>
          <w:rFonts w:ascii="Arial" w:eastAsia="標楷體" w:hAnsi="Arial" w:cs="Arial"/>
          <w:sz w:val="18"/>
          <w:szCs w:val="18"/>
        </w:rPr>
        <w:t xml:space="preserve">Lin, </w:t>
      </w:r>
      <w:r w:rsidR="0063136C" w:rsidRPr="00DE0229">
        <w:rPr>
          <w:rFonts w:ascii="Arial" w:eastAsia="標楷體" w:hAnsi="Arial" w:cs="Arial"/>
          <w:sz w:val="18"/>
          <w:szCs w:val="18"/>
        </w:rPr>
        <w:t>Ying-Hong</w:t>
      </w:r>
      <w:r w:rsidR="004B7258" w:rsidRPr="00DE0229">
        <w:rPr>
          <w:rFonts w:ascii="Arial" w:eastAsia="標楷體" w:hAnsi="Arial" w:cs="Arial"/>
          <w:sz w:val="18"/>
          <w:szCs w:val="18"/>
          <w:vertAlign w:val="superscript"/>
        </w:rPr>
        <w:t>2</w:t>
      </w:r>
      <w:r w:rsidR="0063136C" w:rsidRPr="00DE0229">
        <w:rPr>
          <w:rFonts w:ascii="Arial" w:eastAsia="標楷體" w:hAnsi="Arial" w:cs="Arial"/>
          <w:sz w:val="18"/>
          <w:szCs w:val="18"/>
        </w:rPr>
        <w:t xml:space="preserve">, </w:t>
      </w:r>
      <w:r w:rsidR="00FA24ED" w:rsidRPr="00DE0229">
        <w:rPr>
          <w:rFonts w:ascii="Arial" w:hAnsi="Arial" w:cs="Arial"/>
          <w:sz w:val="18"/>
          <w:szCs w:val="18"/>
        </w:rPr>
        <w:t>Hu, Anren</w:t>
      </w:r>
      <w:r w:rsidR="004B7258" w:rsidRPr="00DE0229">
        <w:rPr>
          <w:rFonts w:ascii="Arial" w:eastAsia="標楷體" w:hAnsi="Arial" w:cs="Arial"/>
          <w:sz w:val="18"/>
          <w:szCs w:val="18"/>
          <w:vertAlign w:val="superscript"/>
        </w:rPr>
        <w:t>3</w:t>
      </w:r>
      <w:r w:rsidR="00BD2FE0" w:rsidRPr="00DE0229">
        <w:rPr>
          <w:rFonts w:ascii="Arial" w:eastAsia="標楷體" w:hAnsi="Arial" w:cs="Arial"/>
          <w:sz w:val="18"/>
          <w:szCs w:val="18"/>
        </w:rPr>
        <w:t xml:space="preserve">, </w:t>
      </w:r>
      <w:r w:rsidR="00C97FBE" w:rsidRPr="00DE0229">
        <w:rPr>
          <w:rFonts w:ascii="Arial" w:eastAsia="標楷體" w:hAnsi="Arial" w:cs="Arial"/>
          <w:sz w:val="18"/>
          <w:szCs w:val="18"/>
        </w:rPr>
        <w:t>Chi, Fen-Lien</w:t>
      </w:r>
      <w:r w:rsidR="00C97FBE" w:rsidRPr="00DE0229">
        <w:rPr>
          <w:rFonts w:ascii="Arial" w:eastAsia="標楷體" w:hAnsi="Arial" w:cs="Arial"/>
          <w:sz w:val="18"/>
          <w:szCs w:val="18"/>
          <w:vertAlign w:val="superscript"/>
        </w:rPr>
        <w:t>1</w:t>
      </w:r>
      <w:r w:rsidR="00F267AB" w:rsidRPr="00DE0229">
        <w:rPr>
          <w:rFonts w:ascii="Arial" w:eastAsia="標楷體" w:hAnsi="Arial" w:cs="Arial"/>
          <w:sz w:val="18"/>
          <w:szCs w:val="18"/>
        </w:rPr>
        <w:t xml:space="preserve"> </w:t>
      </w:r>
      <w:r w:rsidRPr="00DE0229">
        <w:rPr>
          <w:rFonts w:ascii="Arial" w:eastAsia="標楷體" w:hAnsi="Arial" w:cs="Arial"/>
          <w:sz w:val="18"/>
          <w:szCs w:val="18"/>
        </w:rPr>
        <w:t xml:space="preserve">and </w:t>
      </w:r>
      <w:proofErr w:type="spellStart"/>
      <w:r w:rsidRPr="00DE0229">
        <w:rPr>
          <w:rFonts w:ascii="Arial" w:eastAsia="標楷體" w:hAnsi="Arial" w:cs="Arial"/>
          <w:sz w:val="18"/>
          <w:szCs w:val="18"/>
        </w:rPr>
        <w:t>Tsay</w:t>
      </w:r>
      <w:proofErr w:type="spellEnd"/>
      <w:r w:rsidRPr="00DE0229">
        <w:rPr>
          <w:rFonts w:ascii="Arial" w:eastAsia="標楷體" w:hAnsi="Arial" w:cs="Arial"/>
          <w:sz w:val="18"/>
          <w:szCs w:val="18"/>
        </w:rPr>
        <w:t>, Jyh-Shyan</w:t>
      </w:r>
      <w:r w:rsidRPr="00DE0229">
        <w:rPr>
          <w:rFonts w:ascii="Arial" w:eastAsia="標楷體" w:hAnsi="Arial" w:cs="Arial"/>
          <w:sz w:val="18"/>
          <w:szCs w:val="18"/>
          <w:vertAlign w:val="superscript"/>
        </w:rPr>
        <w:t>1</w:t>
      </w:r>
    </w:p>
    <w:p w:rsidR="006976D9" w:rsidRPr="00DE0229" w:rsidRDefault="006976D9" w:rsidP="00494C53">
      <w:pPr>
        <w:spacing w:line="200" w:lineRule="exact"/>
        <w:rPr>
          <w:rFonts w:ascii="Arial" w:eastAsia="微軟正黑體" w:hAnsi="Arial" w:cs="Arial"/>
          <w:sz w:val="18"/>
          <w:szCs w:val="18"/>
        </w:rPr>
      </w:pPr>
      <w:r w:rsidRPr="00DE0229">
        <w:rPr>
          <w:rFonts w:ascii="Arial" w:hAnsi="Arial" w:cs="Arial"/>
          <w:sz w:val="18"/>
          <w:szCs w:val="18"/>
          <w:vertAlign w:val="superscript"/>
        </w:rPr>
        <w:t>1</w:t>
      </w:r>
      <w:r w:rsidR="00575B49" w:rsidRPr="00DE0229">
        <w:rPr>
          <w:rFonts w:ascii="Arial" w:hAnsi="Arial" w:cs="Arial"/>
          <w:sz w:val="18"/>
          <w:szCs w:val="18"/>
        </w:rPr>
        <w:t xml:space="preserve"> Department of Horticulture and Landscape Architecture</w:t>
      </w:r>
      <w:r w:rsidRPr="00DE0229">
        <w:rPr>
          <w:rFonts w:ascii="Arial" w:hAnsi="Arial" w:cs="Arial"/>
          <w:sz w:val="18"/>
          <w:szCs w:val="18"/>
        </w:rPr>
        <w:t xml:space="preserve">, </w:t>
      </w:r>
      <w:r w:rsidRPr="00DE0229">
        <w:rPr>
          <w:rFonts w:ascii="Arial" w:eastAsia="微軟正黑體" w:hAnsi="Arial" w:cs="Arial"/>
          <w:sz w:val="18"/>
          <w:szCs w:val="18"/>
        </w:rPr>
        <w:t>National Taitung Jr. College, Taitung</w:t>
      </w:r>
      <w:r w:rsidR="00F267AB" w:rsidRPr="00DE0229">
        <w:rPr>
          <w:rFonts w:ascii="Arial" w:eastAsia="微軟正黑體" w:hAnsi="Arial" w:cs="Arial"/>
          <w:sz w:val="18"/>
          <w:szCs w:val="18"/>
        </w:rPr>
        <w:t xml:space="preserve"> 950</w:t>
      </w:r>
      <w:r w:rsidRPr="00DE0229">
        <w:rPr>
          <w:rFonts w:ascii="Arial" w:eastAsia="微軟正黑體" w:hAnsi="Arial" w:cs="Arial"/>
          <w:sz w:val="18"/>
          <w:szCs w:val="18"/>
        </w:rPr>
        <w:t>, Taiwan</w:t>
      </w:r>
    </w:p>
    <w:p w:rsidR="004B7258" w:rsidRPr="00DE0229" w:rsidRDefault="004B7258" w:rsidP="00494C53">
      <w:pPr>
        <w:spacing w:line="200" w:lineRule="exact"/>
        <w:rPr>
          <w:rFonts w:ascii="Arial" w:eastAsia="微軟正黑體" w:hAnsi="Arial" w:cs="Arial"/>
          <w:sz w:val="18"/>
          <w:szCs w:val="18"/>
        </w:rPr>
      </w:pPr>
      <w:r w:rsidRPr="00DE0229">
        <w:rPr>
          <w:rFonts w:ascii="Arial" w:hAnsi="Arial" w:cs="Arial"/>
          <w:sz w:val="18"/>
          <w:szCs w:val="18"/>
          <w:shd w:val="clear" w:color="auto" w:fill="FFFFFF"/>
          <w:vertAlign w:val="superscript"/>
        </w:rPr>
        <w:t>2</w:t>
      </w:r>
      <w:r w:rsidRPr="00DE0229">
        <w:rPr>
          <w:rFonts w:ascii="Arial" w:hAnsi="Arial" w:cs="Arial"/>
          <w:sz w:val="18"/>
          <w:szCs w:val="18"/>
          <w:shd w:val="clear" w:color="auto" w:fill="FFFFFF"/>
        </w:rPr>
        <w:t xml:space="preserve"> Department of Plant Medicine, National Pingtung University of Science and Technology, Pingtung 912, Taiwan</w:t>
      </w:r>
    </w:p>
    <w:p w:rsidR="00F267AB" w:rsidRPr="00131E17" w:rsidRDefault="004B7258" w:rsidP="00494C53">
      <w:pPr>
        <w:spacing w:line="200" w:lineRule="exact"/>
      </w:pPr>
      <w:r w:rsidRPr="00DE0229">
        <w:rPr>
          <w:rFonts w:ascii="Arial" w:hAnsi="Arial" w:cs="Arial"/>
          <w:sz w:val="18"/>
          <w:szCs w:val="18"/>
          <w:shd w:val="clear" w:color="auto" w:fill="FFFFFF"/>
          <w:vertAlign w:val="superscript"/>
        </w:rPr>
        <w:t>3</w:t>
      </w:r>
      <w:r w:rsidR="00FA24ED" w:rsidRPr="00DE0229">
        <w:rPr>
          <w:rFonts w:ascii="Arial" w:hAnsi="Arial" w:cs="Arial"/>
          <w:sz w:val="18"/>
          <w:szCs w:val="18"/>
          <w:shd w:val="clear" w:color="auto" w:fill="FFFFFF"/>
        </w:rPr>
        <w:t xml:space="preserve"> Department of Laboratory </w:t>
      </w:r>
      <w:proofErr w:type="gramStart"/>
      <w:r w:rsidR="00FA24ED" w:rsidRPr="00DE0229">
        <w:rPr>
          <w:rFonts w:ascii="Arial" w:hAnsi="Arial" w:cs="Arial"/>
          <w:sz w:val="18"/>
          <w:szCs w:val="18"/>
          <w:shd w:val="clear" w:color="auto" w:fill="FFFFFF"/>
        </w:rPr>
        <w:t>Medicine</w:t>
      </w:r>
      <w:proofErr w:type="gramEnd"/>
      <w:r w:rsidR="00FA24ED" w:rsidRPr="00DE0229">
        <w:rPr>
          <w:rFonts w:ascii="Arial" w:hAnsi="Arial" w:cs="Arial"/>
          <w:sz w:val="18"/>
          <w:szCs w:val="18"/>
          <w:shd w:val="clear" w:color="auto" w:fill="FFFFFF"/>
        </w:rPr>
        <w:t xml:space="preserve"> and Biotechnology, Tzu Chi University, Hualien 970, Taiwan</w:t>
      </w:r>
    </w:p>
    <w:p w:rsidR="006976D9" w:rsidRPr="001A7D08" w:rsidRDefault="006976D9" w:rsidP="006976D9">
      <w:pPr>
        <w:rPr>
          <w:rFonts w:ascii="Arial" w:hAnsi="Arial" w:cs="Arial"/>
          <w:spacing w:val="1"/>
          <w:sz w:val="18"/>
          <w:szCs w:val="18"/>
          <w:lang w:val="en-GB"/>
        </w:rPr>
      </w:pPr>
    </w:p>
    <w:p w:rsidR="001A7D08" w:rsidRPr="001A7D08" w:rsidRDefault="001A7D08" w:rsidP="006976D9">
      <w:pPr>
        <w:rPr>
          <w:rFonts w:ascii="Arial" w:hAnsi="Arial" w:cs="Arial"/>
          <w:sz w:val="18"/>
          <w:szCs w:val="18"/>
        </w:rPr>
        <w:sectPr w:rsidR="001A7D08" w:rsidRPr="001A7D08" w:rsidSect="001A7D08">
          <w:pgSz w:w="11906" w:h="16838"/>
          <w:pgMar w:top="1741" w:right="601" w:bottom="839" w:left="618" w:header="851" w:footer="992" w:gutter="0"/>
          <w:cols w:space="425"/>
          <w:docGrid w:type="lines" w:linePitch="360"/>
        </w:sectPr>
      </w:pPr>
    </w:p>
    <w:p w:rsidR="00DE0229" w:rsidRPr="005A269B" w:rsidRDefault="00DE0229" w:rsidP="006976D9">
      <w:pPr>
        <w:rPr>
          <w:rFonts w:ascii="Arial" w:hAnsi="Arial" w:cs="Arial"/>
          <w:spacing w:val="1"/>
          <w:sz w:val="20"/>
          <w:szCs w:val="20"/>
          <w:lang w:val="en-GB"/>
        </w:rPr>
      </w:pPr>
      <w:r w:rsidRPr="005A269B">
        <w:rPr>
          <w:rFonts w:ascii="Arial" w:hAnsi="Arial" w:cs="Arial"/>
          <w:sz w:val="20"/>
          <w:szCs w:val="20"/>
        </w:rPr>
        <w:lastRenderedPageBreak/>
        <w:t>Abstract</w:t>
      </w:r>
    </w:p>
    <w:p w:rsidR="009D0179" w:rsidRPr="00131E17" w:rsidRDefault="005A269B" w:rsidP="00A55933">
      <w:pPr>
        <w:spacing w:line="300" w:lineRule="exact"/>
        <w:rPr>
          <w:spacing w:val="1"/>
          <w:lang w:val="en-GB"/>
        </w:rPr>
      </w:pPr>
      <w:r w:rsidRPr="005A269B">
        <w:rPr>
          <w:rFonts w:ascii="Tw Cen MT" w:hAnsi="Tw Cen MT"/>
          <w:spacing w:val="1"/>
          <w:sz w:val="18"/>
          <w:lang w:val="en-GB"/>
        </w:rPr>
        <w:t xml:space="preserve">Panama disease caused by </w:t>
      </w:r>
      <w:r w:rsidRPr="005A269B">
        <w:rPr>
          <w:rFonts w:ascii="Tw Cen MT" w:hAnsi="Tw Cen MT"/>
          <w:i/>
          <w:iCs/>
          <w:spacing w:val="1"/>
          <w:sz w:val="18"/>
          <w:lang w:val="en-GB"/>
        </w:rPr>
        <w:t xml:space="preserve">Fusarium </w:t>
      </w:r>
      <w:proofErr w:type="spellStart"/>
      <w:r w:rsidRPr="005A269B">
        <w:rPr>
          <w:rFonts w:ascii="Tw Cen MT" w:hAnsi="Tw Cen MT"/>
          <w:i/>
          <w:iCs/>
          <w:spacing w:val="1"/>
          <w:sz w:val="18"/>
          <w:lang w:val="en-GB"/>
        </w:rPr>
        <w:t>oxysporum</w:t>
      </w:r>
      <w:proofErr w:type="spellEnd"/>
      <w:r w:rsidRPr="005A269B">
        <w:rPr>
          <w:rFonts w:ascii="Tw Cen MT" w:hAnsi="Tw Cen MT"/>
          <w:spacing w:val="1"/>
          <w:sz w:val="18"/>
          <w:lang w:val="en-GB"/>
        </w:rPr>
        <w:t xml:space="preserve"> f. sp. </w:t>
      </w:r>
      <w:proofErr w:type="spellStart"/>
      <w:r w:rsidRPr="005A269B">
        <w:rPr>
          <w:rFonts w:ascii="Tw Cen MT" w:hAnsi="Tw Cen MT"/>
          <w:i/>
          <w:iCs/>
          <w:spacing w:val="1"/>
          <w:sz w:val="18"/>
          <w:lang w:val="en-GB"/>
        </w:rPr>
        <w:t>cubense</w:t>
      </w:r>
      <w:proofErr w:type="spellEnd"/>
      <w:r w:rsidRPr="005A269B">
        <w:rPr>
          <w:rFonts w:ascii="Tw Cen MT" w:hAnsi="Tw Cen MT"/>
          <w:spacing w:val="1"/>
          <w:sz w:val="18"/>
          <w:lang w:val="en-GB"/>
        </w:rPr>
        <w:t xml:space="preserve"> (FOC) is </w:t>
      </w:r>
      <w:r w:rsidRPr="005A269B">
        <w:rPr>
          <w:rFonts w:ascii="Tw Cen MT" w:hAnsi="Tw Cen MT"/>
          <w:sz w:val="18"/>
          <w:shd w:val="clear" w:color="auto" w:fill="FFFFFF"/>
        </w:rPr>
        <w:t>the most destructive disease in banana production</w:t>
      </w:r>
      <w:r w:rsidRPr="005A269B">
        <w:rPr>
          <w:rFonts w:ascii="Tw Cen MT" w:hAnsi="Tw Cen MT"/>
          <w:spacing w:val="1"/>
          <w:sz w:val="18"/>
          <w:lang w:val="en-GB"/>
        </w:rPr>
        <w:t xml:space="preserve">. In this study, we </w:t>
      </w:r>
      <w:r w:rsidRPr="005A269B">
        <w:rPr>
          <w:rFonts w:ascii="Tw Cen MT" w:hAnsi="Tw Cen MT"/>
          <w:noProof/>
          <w:spacing w:val="1"/>
          <w:sz w:val="18"/>
          <w:lang w:val="en-GB"/>
        </w:rPr>
        <w:t>explore</w:t>
      </w:r>
      <w:r w:rsidRPr="005A269B">
        <w:rPr>
          <w:rFonts w:ascii="Tw Cen MT" w:hAnsi="Tw Cen MT"/>
          <w:spacing w:val="1"/>
          <w:sz w:val="18"/>
          <w:lang w:val="en-GB"/>
        </w:rPr>
        <w:t xml:space="preserve"> a potential non-chemical approach to reducing the incidence of </w:t>
      </w:r>
      <w:r w:rsidRPr="005A269B">
        <w:rPr>
          <w:rFonts w:ascii="Tw Cen MT" w:hAnsi="Tw Cen MT"/>
          <w:sz w:val="18"/>
          <w:shd w:val="clear" w:color="auto" w:fill="FFFFFF"/>
        </w:rPr>
        <w:t xml:space="preserve">Panama disease in fields in Taiwan. </w:t>
      </w:r>
      <w:r w:rsidRPr="005A269B">
        <w:rPr>
          <w:rFonts w:ascii="Tw Cen MT" w:eastAsia="標楷體" w:hAnsi="Tw Cen MT"/>
          <w:kern w:val="0"/>
          <w:sz w:val="18"/>
        </w:rPr>
        <w:t xml:space="preserve">Fresh materials collected from 11 </w:t>
      </w:r>
      <w:r w:rsidRPr="005A269B">
        <w:rPr>
          <w:rFonts w:ascii="Tw Cen MT" w:hAnsi="Tw Cen MT"/>
          <w:sz w:val="18"/>
          <w:shd w:val="clear" w:color="auto" w:fill="FFFFFF"/>
        </w:rPr>
        <w:t>naturalized or invasive</w:t>
      </w:r>
      <w:r w:rsidRPr="005A269B">
        <w:rPr>
          <w:rFonts w:ascii="Tw Cen MT" w:eastAsia="標楷體" w:hAnsi="Tw Cen MT"/>
          <w:kern w:val="0"/>
          <w:sz w:val="18"/>
        </w:rPr>
        <w:t xml:space="preserve"> plants were subjected to steam-distillation, and the isolated essential oils or hydrosols were subsequently evaluated for </w:t>
      </w:r>
      <w:r w:rsidRPr="005A269B">
        <w:rPr>
          <w:rFonts w:ascii="Tw Cen MT" w:eastAsia="標楷體" w:hAnsi="Tw Cen MT"/>
          <w:i/>
          <w:kern w:val="0"/>
          <w:sz w:val="18"/>
        </w:rPr>
        <w:t>in vitro</w:t>
      </w:r>
      <w:r w:rsidRPr="005A269B">
        <w:rPr>
          <w:rFonts w:ascii="Tw Cen MT" w:eastAsia="標楷體" w:hAnsi="Tw Cen MT"/>
          <w:kern w:val="0"/>
          <w:sz w:val="18"/>
        </w:rPr>
        <w:t xml:space="preserve"> antifungal activity against three FOC reference isolates: YJL-F040 race 1, ATCC-76243 race 2, and ATCC-38741 subtropical race 4. The essential oil of the </w:t>
      </w:r>
      <w:r w:rsidRPr="005A269B">
        <w:rPr>
          <w:rFonts w:ascii="Tw Cen MT" w:eastAsia="標楷體" w:hAnsi="Tw Cen MT"/>
          <w:i/>
          <w:kern w:val="0"/>
          <w:sz w:val="18"/>
        </w:rPr>
        <w:t>Biden</w:t>
      </w:r>
      <w:r w:rsidRPr="005A269B">
        <w:rPr>
          <w:rFonts w:ascii="Tw Cen MT" w:eastAsia="標楷體" w:hAnsi="Tw Cen MT"/>
          <w:kern w:val="0"/>
          <w:sz w:val="18"/>
        </w:rPr>
        <w:t xml:space="preserve"> </w:t>
      </w:r>
      <w:proofErr w:type="spellStart"/>
      <w:r w:rsidRPr="005A269B">
        <w:rPr>
          <w:rFonts w:ascii="Tw Cen MT" w:eastAsia="標楷體" w:hAnsi="Tw Cen MT"/>
          <w:i/>
          <w:kern w:val="0"/>
          <w:sz w:val="18"/>
        </w:rPr>
        <w:t>pilosa</w:t>
      </w:r>
      <w:proofErr w:type="spellEnd"/>
      <w:r w:rsidRPr="005A269B">
        <w:rPr>
          <w:rFonts w:ascii="Tw Cen MT" w:eastAsia="標楷體" w:hAnsi="Tw Cen MT"/>
          <w:kern w:val="0"/>
          <w:sz w:val="18"/>
        </w:rPr>
        <w:t xml:space="preserve"> plant demonstrated potent antifungal activity agains</w:t>
      </w:r>
      <w:r w:rsidRPr="005A269B">
        <w:rPr>
          <w:rFonts w:ascii="Tw Cen MT" w:eastAsia="標楷體" w:hAnsi="Tw Cen MT"/>
          <w:kern w:val="0"/>
          <w:sz w:val="18"/>
        </w:rPr>
        <w:t>t FOC isolates,</w:t>
      </w:r>
      <w:r w:rsidRPr="005A269B">
        <w:rPr>
          <w:rFonts w:ascii="Tw Cen MT" w:eastAsia="標楷體" w:hAnsi="Tw Cen MT"/>
          <w:kern w:val="0"/>
          <w:sz w:val="18"/>
        </w:rPr>
        <w:t xml:space="preserve"> showing 22% to 43% inhibition of mycelial growth in races 1, 2, 4, and 70% inhibition of spore germination in race 4. A preliminary field experiment was then conducted in an orchard in Taitung County, Taiwan, and the area was divided into four sections, </w:t>
      </w:r>
      <w:r w:rsidRPr="005A269B">
        <w:rPr>
          <w:rFonts w:ascii="Tw Cen MT" w:eastAsia="標楷體" w:hAnsi="Tw Cen MT"/>
          <w:noProof/>
          <w:kern w:val="0"/>
          <w:sz w:val="18"/>
        </w:rPr>
        <w:t>and</w:t>
      </w:r>
      <w:r w:rsidRPr="005A269B">
        <w:rPr>
          <w:rFonts w:ascii="Tw Cen MT" w:eastAsia="標楷體" w:hAnsi="Tw Cen MT"/>
          <w:kern w:val="0"/>
          <w:sz w:val="18"/>
        </w:rPr>
        <w:t xml:space="preserve"> one testing area and three control areas were </w:t>
      </w:r>
      <w:r w:rsidRPr="005A269B">
        <w:rPr>
          <w:rFonts w:ascii="Tw Cen MT" w:hAnsi="Tw Cen MT"/>
          <w:sz w:val="18"/>
        </w:rPr>
        <w:t>randomly assigned</w:t>
      </w:r>
      <w:r w:rsidRPr="005A269B">
        <w:rPr>
          <w:rFonts w:ascii="Tw Cen MT" w:eastAsia="標楷體" w:hAnsi="Tw Cen MT"/>
          <w:kern w:val="0"/>
          <w:sz w:val="18"/>
        </w:rPr>
        <w:t>. A re-dissolved 0.01% (v</w:t>
      </w:r>
      <w:proofErr w:type="gramStart"/>
      <w:r w:rsidRPr="005A269B">
        <w:rPr>
          <w:rFonts w:ascii="Tw Cen MT" w:eastAsia="標楷體" w:hAnsi="Tw Cen MT"/>
          <w:kern w:val="0"/>
          <w:sz w:val="18"/>
        </w:rPr>
        <w:t>./</w:t>
      </w:r>
      <w:proofErr w:type="gramEnd"/>
      <w:r w:rsidRPr="005A269B">
        <w:rPr>
          <w:rFonts w:ascii="Tw Cen MT" w:eastAsia="標楷體" w:hAnsi="Tw Cen MT"/>
          <w:kern w:val="0"/>
          <w:sz w:val="18"/>
        </w:rPr>
        <w:t>v.) solution prepared from the essential oils and hydrosol of</w:t>
      </w:r>
      <w:r w:rsidRPr="005A269B">
        <w:rPr>
          <w:rFonts w:ascii="Tw Cen MT" w:eastAsia="標楷體" w:hAnsi="Tw Cen MT"/>
          <w:i/>
          <w:kern w:val="0"/>
          <w:sz w:val="18"/>
        </w:rPr>
        <w:t xml:space="preserve"> B</w:t>
      </w:r>
      <w:r w:rsidRPr="005A269B">
        <w:rPr>
          <w:rFonts w:ascii="Tw Cen MT" w:eastAsia="標楷體" w:hAnsi="Tw Cen MT"/>
          <w:kern w:val="0"/>
          <w:sz w:val="18"/>
        </w:rPr>
        <w:t xml:space="preserve">. </w:t>
      </w:r>
      <w:proofErr w:type="spellStart"/>
      <w:r w:rsidRPr="005A269B">
        <w:rPr>
          <w:rFonts w:ascii="Tw Cen MT" w:eastAsia="標楷體" w:hAnsi="Tw Cen MT"/>
          <w:i/>
          <w:kern w:val="0"/>
          <w:sz w:val="18"/>
        </w:rPr>
        <w:t>pilosa</w:t>
      </w:r>
      <w:proofErr w:type="spellEnd"/>
      <w:r w:rsidRPr="005A269B">
        <w:rPr>
          <w:rFonts w:ascii="Tw Cen MT" w:eastAsia="標楷體" w:hAnsi="Tw Cen MT"/>
          <w:kern w:val="0"/>
          <w:sz w:val="18"/>
        </w:rPr>
        <w:t xml:space="preserve"> plants were irrigated into the bulk soil areas of 84 banana plantlets during secondary hardening, once a week beginning March 13, 2017. The incidence of </w:t>
      </w:r>
      <w:r w:rsidRPr="005A269B">
        <w:rPr>
          <w:rFonts w:ascii="Tw Cen MT" w:hAnsi="Tw Cen MT"/>
          <w:sz w:val="18"/>
        </w:rPr>
        <w:t>Panama disease</w:t>
      </w:r>
      <w:r w:rsidRPr="005A269B">
        <w:rPr>
          <w:rFonts w:ascii="Tw Cen MT" w:eastAsia="標楷體" w:hAnsi="Tw Cen MT"/>
          <w:kern w:val="0"/>
          <w:sz w:val="18"/>
        </w:rPr>
        <w:t xml:space="preserve"> was investigated from </w:t>
      </w:r>
      <w:r w:rsidRPr="005A269B">
        <w:rPr>
          <w:rFonts w:ascii="Tw Cen MT" w:hAnsi="Tw Cen MT"/>
          <w:sz w:val="18"/>
        </w:rPr>
        <w:t xml:space="preserve">August 28 to November 15, 2017. Disease incidence was just 16% in the testing area, compared to 53%, 51%, and 12% in the three control areas. </w:t>
      </w:r>
      <w:r w:rsidRPr="005A269B">
        <w:rPr>
          <w:rFonts w:ascii="Tw Cen MT" w:eastAsia="標楷體" w:hAnsi="Tw Cen MT"/>
          <w:kern w:val="0"/>
          <w:sz w:val="18"/>
        </w:rPr>
        <w:t xml:space="preserve">A second investigation was carried out on four different orchards from March 20, </w:t>
      </w:r>
      <w:r w:rsidRPr="005A269B">
        <w:rPr>
          <w:rFonts w:ascii="Tw Cen MT" w:eastAsia="標楷體" w:hAnsi="Tw Cen MT"/>
          <w:noProof/>
          <w:kern w:val="0"/>
          <w:sz w:val="18"/>
        </w:rPr>
        <w:t>2018</w:t>
      </w:r>
      <w:r w:rsidRPr="005A269B">
        <w:rPr>
          <w:rFonts w:ascii="Tw Cen MT" w:eastAsia="標楷體" w:hAnsi="Tw Cen MT"/>
          <w:kern w:val="0"/>
          <w:sz w:val="18"/>
        </w:rPr>
        <w:t xml:space="preserve"> to December 21, 2018. Incidence rates of Panama disease were 22.2% to 27.3% in the testing areas and 45.2% to 62.2% in the control areas. </w:t>
      </w:r>
      <w:r w:rsidRPr="005A269B">
        <w:rPr>
          <w:rFonts w:ascii="Tw Cen MT" w:hAnsi="Tw Cen MT"/>
          <w:sz w:val="18"/>
        </w:rPr>
        <w:t xml:space="preserve">In-depth analysis of the antifungal compounds in </w:t>
      </w:r>
      <w:r w:rsidRPr="005A269B">
        <w:rPr>
          <w:rFonts w:ascii="Tw Cen MT" w:eastAsia="標楷體" w:hAnsi="Tw Cen MT"/>
          <w:i/>
          <w:kern w:val="0"/>
          <w:sz w:val="18"/>
        </w:rPr>
        <w:t>B</w:t>
      </w:r>
      <w:r w:rsidRPr="005A269B">
        <w:rPr>
          <w:rFonts w:ascii="Tw Cen MT" w:eastAsia="標楷體" w:hAnsi="Tw Cen MT"/>
          <w:kern w:val="0"/>
          <w:sz w:val="18"/>
        </w:rPr>
        <w:t xml:space="preserve">. </w:t>
      </w:r>
      <w:proofErr w:type="spellStart"/>
      <w:r w:rsidRPr="005A269B">
        <w:rPr>
          <w:rFonts w:ascii="Tw Cen MT" w:eastAsia="標楷體" w:hAnsi="Tw Cen MT"/>
          <w:i/>
          <w:kern w:val="0"/>
          <w:sz w:val="18"/>
        </w:rPr>
        <w:t>pilosa</w:t>
      </w:r>
      <w:proofErr w:type="spellEnd"/>
      <w:r w:rsidRPr="005A269B">
        <w:rPr>
          <w:rFonts w:ascii="Tw Cen MT" w:eastAsia="標楷體" w:hAnsi="Tw Cen MT"/>
          <w:kern w:val="0"/>
          <w:sz w:val="18"/>
        </w:rPr>
        <w:t xml:space="preserve"> essential oils was </w:t>
      </w:r>
      <w:r w:rsidRPr="005A269B">
        <w:rPr>
          <w:rFonts w:ascii="Tw Cen MT" w:hAnsi="Tw Cen MT"/>
          <w:sz w:val="18"/>
        </w:rPr>
        <w:t>carried out with gas chromatography–mass spectrometry</w:t>
      </w:r>
      <w:r w:rsidRPr="005A269B">
        <w:rPr>
          <w:rFonts w:ascii="Tw Cen MT" w:eastAsia="標楷體" w:hAnsi="Tw Cen MT"/>
          <w:kern w:val="0"/>
          <w:sz w:val="18"/>
        </w:rPr>
        <w:t>.</w:t>
      </w:r>
      <w:r w:rsidRPr="005A269B">
        <w:rPr>
          <w:rFonts w:ascii="Tw Cen MT" w:hAnsi="Tw Cen MT"/>
          <w:sz w:val="18"/>
        </w:rPr>
        <w:t xml:space="preserve"> Our results suggest a promising non-chemical approach for controlling the occurrence of </w:t>
      </w:r>
      <w:r w:rsidRPr="005A269B">
        <w:rPr>
          <w:rFonts w:ascii="Tw Cen MT" w:hAnsi="Tw Cen MT"/>
          <w:spacing w:val="1"/>
          <w:sz w:val="18"/>
          <w:lang w:val="en-GB"/>
        </w:rPr>
        <w:t xml:space="preserve">Panama disease </w:t>
      </w:r>
      <w:r w:rsidRPr="005A269B">
        <w:rPr>
          <w:rFonts w:ascii="Tw Cen MT" w:hAnsi="Tw Cen MT"/>
          <w:sz w:val="18"/>
        </w:rPr>
        <w:t xml:space="preserve">using </w:t>
      </w:r>
      <w:r w:rsidRPr="005A269B">
        <w:rPr>
          <w:rFonts w:ascii="Tw Cen MT" w:eastAsia="標楷體" w:hAnsi="Tw Cen MT"/>
          <w:i/>
          <w:kern w:val="0"/>
          <w:sz w:val="18"/>
        </w:rPr>
        <w:t>B</w:t>
      </w:r>
      <w:r w:rsidRPr="005A269B">
        <w:rPr>
          <w:rFonts w:ascii="Tw Cen MT" w:eastAsia="標楷體" w:hAnsi="Tw Cen MT"/>
          <w:kern w:val="0"/>
          <w:sz w:val="18"/>
        </w:rPr>
        <w:t xml:space="preserve">. </w:t>
      </w:r>
      <w:proofErr w:type="spellStart"/>
      <w:r w:rsidRPr="005A269B">
        <w:rPr>
          <w:rFonts w:ascii="Tw Cen MT" w:eastAsia="標楷體" w:hAnsi="Tw Cen MT"/>
          <w:i/>
          <w:kern w:val="0"/>
          <w:sz w:val="18"/>
        </w:rPr>
        <w:t>pilosa</w:t>
      </w:r>
      <w:proofErr w:type="spellEnd"/>
      <w:r w:rsidRPr="005A269B">
        <w:rPr>
          <w:rFonts w:ascii="Tw Cen MT" w:eastAsia="標楷體" w:hAnsi="Tw Cen MT"/>
          <w:kern w:val="0"/>
          <w:sz w:val="18"/>
        </w:rPr>
        <w:t xml:space="preserve"> essential oils</w:t>
      </w:r>
      <w:r w:rsidRPr="005A269B">
        <w:rPr>
          <w:rFonts w:ascii="Tw Cen MT" w:hAnsi="Tw Cen MT"/>
          <w:spacing w:val="1"/>
          <w:sz w:val="18"/>
          <w:lang w:val="en-GB"/>
        </w:rPr>
        <w:t>.</w:t>
      </w:r>
    </w:p>
    <w:p w:rsidR="009D0179" w:rsidRPr="005A269B" w:rsidRDefault="009D0179">
      <w:pPr>
        <w:rPr>
          <w:rFonts w:ascii="Arial" w:hAnsi="Arial" w:cs="Arial"/>
          <w:b/>
          <w:sz w:val="20"/>
          <w:szCs w:val="20"/>
        </w:rPr>
      </w:pPr>
      <w:r w:rsidRPr="005A269B">
        <w:rPr>
          <w:rFonts w:ascii="Arial" w:hAnsi="Arial" w:cs="Arial"/>
          <w:b/>
          <w:sz w:val="20"/>
          <w:szCs w:val="20"/>
        </w:rPr>
        <w:lastRenderedPageBreak/>
        <w:t>Image</w:t>
      </w:r>
    </w:p>
    <w:p w:rsidR="00014568" w:rsidRPr="00131E17" w:rsidRDefault="00131E17">
      <w:pPr>
        <w:rPr>
          <w:rFonts w:eastAsia="標楷體"/>
          <w:color w:val="FF0000"/>
          <w:kern w:val="0"/>
        </w:rPr>
      </w:pPr>
      <w:r w:rsidRPr="00131E17">
        <w:rPr>
          <w:rFonts w:eastAsia="標楷體"/>
          <w:noProof/>
          <w:color w:val="FF0000"/>
          <w:kern w:val="0"/>
        </w:rPr>
        <w:drawing>
          <wp:inline distT="0" distB="0" distL="0" distR="0" wp14:anchorId="6E18F60F" wp14:editId="4EA49290">
            <wp:extent cx="2517088" cy="2209800"/>
            <wp:effectExtent l="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st experimental investigation-Panama disease-with words.tif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2038" cy="2214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4568" w:rsidRPr="004A74B7" w:rsidRDefault="00014568">
      <w:pPr>
        <w:rPr>
          <w:rFonts w:ascii="Arial" w:eastAsia="標楷體" w:hAnsi="Arial" w:cs="Arial"/>
          <w:kern w:val="0"/>
          <w:sz w:val="20"/>
          <w:szCs w:val="20"/>
        </w:rPr>
      </w:pPr>
      <w:r w:rsidRPr="004A74B7">
        <w:rPr>
          <w:rFonts w:ascii="Arial" w:hAnsi="Arial" w:cs="Arial"/>
          <w:b/>
          <w:sz w:val="20"/>
          <w:szCs w:val="20"/>
        </w:rPr>
        <w:t>Recent Publications</w:t>
      </w:r>
    </w:p>
    <w:p w:rsidR="008472C0" w:rsidRPr="008472C0" w:rsidRDefault="00F56C70" w:rsidP="008472C0">
      <w:pPr>
        <w:pStyle w:val="a8"/>
        <w:numPr>
          <w:ilvl w:val="0"/>
          <w:numId w:val="1"/>
        </w:numPr>
        <w:spacing w:line="216" w:lineRule="exact"/>
        <w:ind w:leftChars="0" w:left="284" w:hanging="284"/>
        <w:rPr>
          <w:rFonts w:ascii="Calibri" w:eastAsia="標楷體" w:hAnsi="Calibri" w:hint="eastAsia"/>
          <w:kern w:val="0"/>
          <w:sz w:val="18"/>
        </w:rPr>
      </w:pPr>
      <w:r w:rsidRPr="004A74B7">
        <w:rPr>
          <w:rFonts w:ascii="Calibri" w:eastAsia="AdvGulliv-R" w:hAnsi="Calibri"/>
          <w:kern w:val="0"/>
          <w:sz w:val="18"/>
        </w:rPr>
        <w:t xml:space="preserve">Al-Reza SM, Rahman A, Ahmed Y, </w:t>
      </w:r>
      <w:proofErr w:type="gramStart"/>
      <w:r w:rsidRPr="004A74B7">
        <w:rPr>
          <w:rFonts w:ascii="Calibri" w:eastAsia="AdvGulliv-R" w:hAnsi="Calibri"/>
          <w:kern w:val="0"/>
          <w:sz w:val="18"/>
        </w:rPr>
        <w:t>Kang</w:t>
      </w:r>
      <w:proofErr w:type="gramEnd"/>
      <w:r w:rsidRPr="004A74B7">
        <w:rPr>
          <w:rFonts w:ascii="Calibri" w:eastAsia="AdvGulliv-R" w:hAnsi="Calibri"/>
          <w:kern w:val="0"/>
          <w:sz w:val="18"/>
        </w:rPr>
        <w:t xml:space="preserve"> SC (2010) Inhibition of plant pathogens </w:t>
      </w:r>
      <w:r w:rsidRPr="004A74B7">
        <w:rPr>
          <w:rFonts w:ascii="Calibri" w:eastAsia="AdvGulliv-I" w:hAnsi="Calibri"/>
          <w:kern w:val="0"/>
          <w:sz w:val="18"/>
        </w:rPr>
        <w:t xml:space="preserve">in vitro </w:t>
      </w:r>
      <w:r w:rsidRPr="004A74B7">
        <w:rPr>
          <w:rFonts w:ascii="Calibri" w:eastAsia="AdvGulliv-R" w:hAnsi="Calibri"/>
          <w:kern w:val="0"/>
          <w:sz w:val="18"/>
        </w:rPr>
        <w:t xml:space="preserve">and </w:t>
      </w:r>
      <w:r w:rsidRPr="004A74B7">
        <w:rPr>
          <w:rFonts w:ascii="Calibri" w:eastAsia="AdvGulliv-I" w:hAnsi="Calibri"/>
          <w:kern w:val="0"/>
          <w:sz w:val="18"/>
        </w:rPr>
        <w:t xml:space="preserve">in vivo </w:t>
      </w:r>
      <w:r w:rsidRPr="004A74B7">
        <w:rPr>
          <w:rFonts w:ascii="Calibri" w:eastAsia="AdvGulliv-R" w:hAnsi="Calibri"/>
          <w:kern w:val="0"/>
          <w:sz w:val="18"/>
        </w:rPr>
        <w:t xml:space="preserve">with essential oil and organic extracts of </w:t>
      </w:r>
      <w:r w:rsidRPr="004A74B7">
        <w:rPr>
          <w:rFonts w:ascii="Calibri" w:eastAsia="AdvGulliv-I" w:hAnsi="Calibri"/>
          <w:i/>
          <w:kern w:val="0"/>
          <w:sz w:val="18"/>
        </w:rPr>
        <w:t xml:space="preserve">Cestrum </w:t>
      </w:r>
      <w:proofErr w:type="spellStart"/>
      <w:r w:rsidRPr="004A74B7">
        <w:rPr>
          <w:rFonts w:ascii="Calibri" w:eastAsia="AdvGulliv-I" w:hAnsi="Calibri"/>
          <w:i/>
          <w:kern w:val="0"/>
          <w:sz w:val="18"/>
        </w:rPr>
        <w:t>nocturnum</w:t>
      </w:r>
      <w:proofErr w:type="spellEnd"/>
      <w:r w:rsidRPr="004A74B7">
        <w:rPr>
          <w:rFonts w:ascii="Calibri" w:eastAsia="AdvGulliv-I" w:hAnsi="Calibri"/>
          <w:kern w:val="0"/>
          <w:sz w:val="18"/>
        </w:rPr>
        <w:t xml:space="preserve"> </w:t>
      </w:r>
      <w:r w:rsidRPr="004A74B7">
        <w:rPr>
          <w:rFonts w:ascii="Calibri" w:eastAsia="AdvGulliv-R" w:hAnsi="Calibri"/>
          <w:kern w:val="0"/>
          <w:sz w:val="18"/>
        </w:rPr>
        <w:t>L. Pesticide Biochemistry and Physiology 96: 86-92.</w:t>
      </w:r>
    </w:p>
    <w:p w:rsidR="008472C0" w:rsidRPr="008472C0" w:rsidRDefault="00F56C70" w:rsidP="008472C0">
      <w:pPr>
        <w:pStyle w:val="a8"/>
        <w:numPr>
          <w:ilvl w:val="0"/>
          <w:numId w:val="1"/>
        </w:numPr>
        <w:spacing w:line="216" w:lineRule="exact"/>
        <w:ind w:leftChars="0" w:left="284" w:hanging="284"/>
        <w:rPr>
          <w:rFonts w:ascii="Calibri" w:eastAsia="標楷體" w:hAnsi="Calibri" w:hint="eastAsia"/>
          <w:kern w:val="0"/>
          <w:sz w:val="18"/>
        </w:rPr>
      </w:pPr>
      <w:proofErr w:type="spellStart"/>
      <w:r w:rsidRPr="008472C0">
        <w:rPr>
          <w:rFonts w:ascii="Calibri" w:eastAsia="細明體" w:hAnsi="Calibri"/>
          <w:kern w:val="0"/>
          <w:sz w:val="18"/>
        </w:rPr>
        <w:t>Deba</w:t>
      </w:r>
      <w:proofErr w:type="spellEnd"/>
      <w:r w:rsidRPr="008472C0">
        <w:rPr>
          <w:rFonts w:ascii="Calibri" w:eastAsia="細明體" w:hAnsi="Calibri"/>
          <w:kern w:val="0"/>
          <w:sz w:val="18"/>
        </w:rPr>
        <w:t xml:space="preserve"> F, Xuan TD, Yasuda M, </w:t>
      </w:r>
      <w:proofErr w:type="spellStart"/>
      <w:r w:rsidRPr="008472C0">
        <w:rPr>
          <w:rFonts w:ascii="Calibri" w:eastAsia="細明體" w:hAnsi="Calibri"/>
          <w:kern w:val="0"/>
          <w:sz w:val="18"/>
        </w:rPr>
        <w:t>Tawata</w:t>
      </w:r>
      <w:proofErr w:type="spellEnd"/>
      <w:r w:rsidRPr="008472C0">
        <w:rPr>
          <w:rFonts w:ascii="Calibri" w:eastAsia="細明體" w:hAnsi="Calibri"/>
          <w:kern w:val="0"/>
          <w:sz w:val="18"/>
        </w:rPr>
        <w:t xml:space="preserve"> S (2008) Chemical composition and antioxidant, antibacterial and antifungal activities of the essential oils </w:t>
      </w:r>
      <w:bookmarkStart w:id="0" w:name="_GoBack"/>
      <w:bookmarkEnd w:id="0"/>
      <w:r w:rsidRPr="008472C0">
        <w:rPr>
          <w:rFonts w:ascii="Calibri" w:eastAsia="細明體" w:hAnsi="Calibri"/>
          <w:kern w:val="0"/>
          <w:sz w:val="18"/>
        </w:rPr>
        <w:t xml:space="preserve">from </w:t>
      </w:r>
      <w:proofErr w:type="spellStart"/>
      <w:r w:rsidRPr="008472C0">
        <w:rPr>
          <w:rFonts w:ascii="Calibri" w:eastAsia="細明體" w:hAnsi="Calibri"/>
          <w:i/>
          <w:kern w:val="0"/>
          <w:sz w:val="18"/>
        </w:rPr>
        <w:t>Bidens</w:t>
      </w:r>
      <w:proofErr w:type="spellEnd"/>
      <w:r w:rsidRPr="008472C0">
        <w:rPr>
          <w:rFonts w:ascii="Calibri" w:eastAsia="細明體" w:hAnsi="Calibri"/>
          <w:i/>
          <w:kern w:val="0"/>
          <w:sz w:val="18"/>
        </w:rPr>
        <w:t xml:space="preserve"> </w:t>
      </w:r>
      <w:proofErr w:type="spellStart"/>
      <w:r w:rsidRPr="008472C0">
        <w:rPr>
          <w:rFonts w:ascii="Calibri" w:eastAsia="細明體" w:hAnsi="Calibri"/>
          <w:i/>
          <w:kern w:val="0"/>
          <w:sz w:val="18"/>
        </w:rPr>
        <w:t>pilosa</w:t>
      </w:r>
      <w:proofErr w:type="spellEnd"/>
      <w:r w:rsidRPr="008472C0">
        <w:rPr>
          <w:rFonts w:ascii="Calibri" w:eastAsia="細明體" w:hAnsi="Calibri"/>
          <w:kern w:val="0"/>
          <w:sz w:val="18"/>
        </w:rPr>
        <w:t xml:space="preserve"> Linn. </w:t>
      </w:r>
      <w:proofErr w:type="gramStart"/>
      <w:r w:rsidRPr="008472C0">
        <w:rPr>
          <w:rFonts w:ascii="Calibri" w:eastAsia="細明體" w:hAnsi="Calibri"/>
          <w:kern w:val="0"/>
          <w:sz w:val="18"/>
        </w:rPr>
        <w:t>var</w:t>
      </w:r>
      <w:proofErr w:type="gramEnd"/>
      <w:r w:rsidRPr="008472C0">
        <w:rPr>
          <w:rFonts w:ascii="Calibri" w:eastAsia="細明體" w:hAnsi="Calibri"/>
          <w:kern w:val="0"/>
          <w:sz w:val="18"/>
        </w:rPr>
        <w:t xml:space="preserve">. </w:t>
      </w:r>
      <w:proofErr w:type="spellStart"/>
      <w:r w:rsidRPr="008472C0">
        <w:rPr>
          <w:rFonts w:ascii="Calibri" w:eastAsia="細明體" w:hAnsi="Calibri"/>
          <w:i/>
          <w:kern w:val="0"/>
          <w:sz w:val="18"/>
        </w:rPr>
        <w:t>Radiata</w:t>
      </w:r>
      <w:proofErr w:type="spellEnd"/>
      <w:r w:rsidRPr="008472C0">
        <w:rPr>
          <w:rFonts w:ascii="Calibri" w:eastAsia="細明體" w:hAnsi="Calibri"/>
          <w:kern w:val="0"/>
          <w:sz w:val="18"/>
        </w:rPr>
        <w:t>. Food Control 19: 346-352.</w:t>
      </w:r>
    </w:p>
    <w:p w:rsidR="008472C0" w:rsidRPr="008472C0" w:rsidRDefault="00F56C70" w:rsidP="008472C0">
      <w:pPr>
        <w:pStyle w:val="a8"/>
        <w:numPr>
          <w:ilvl w:val="0"/>
          <w:numId w:val="1"/>
        </w:numPr>
        <w:spacing w:line="216" w:lineRule="exact"/>
        <w:ind w:leftChars="0" w:left="284" w:hanging="284"/>
        <w:rPr>
          <w:rFonts w:ascii="Calibri" w:eastAsia="標楷體" w:hAnsi="Calibri" w:hint="eastAsia"/>
          <w:kern w:val="0"/>
          <w:sz w:val="18"/>
        </w:rPr>
      </w:pPr>
      <w:proofErr w:type="spellStart"/>
      <w:r w:rsidRPr="008472C0">
        <w:rPr>
          <w:rFonts w:ascii="Calibri" w:hAnsi="Calibri"/>
          <w:kern w:val="0"/>
          <w:sz w:val="18"/>
        </w:rPr>
        <w:t>Gurjar</w:t>
      </w:r>
      <w:proofErr w:type="spellEnd"/>
      <w:r w:rsidRPr="008472C0">
        <w:rPr>
          <w:rFonts w:ascii="Calibri" w:hAnsi="Calibri"/>
          <w:kern w:val="0"/>
          <w:sz w:val="18"/>
        </w:rPr>
        <w:t xml:space="preserve"> MS, Ali S, Akhtar M, Singh KS (2012) Efficacy of plant extracts in plant disease management. Agricultural Science 3: 425-433.</w:t>
      </w:r>
    </w:p>
    <w:p w:rsidR="008472C0" w:rsidRPr="008472C0" w:rsidRDefault="00F56C70" w:rsidP="008472C0">
      <w:pPr>
        <w:pStyle w:val="a8"/>
        <w:numPr>
          <w:ilvl w:val="0"/>
          <w:numId w:val="1"/>
        </w:numPr>
        <w:spacing w:line="216" w:lineRule="exact"/>
        <w:ind w:leftChars="0" w:left="284" w:hanging="284"/>
        <w:rPr>
          <w:rFonts w:ascii="Calibri" w:eastAsia="標楷體" w:hAnsi="Calibri" w:hint="eastAsia"/>
          <w:kern w:val="0"/>
          <w:sz w:val="18"/>
        </w:rPr>
      </w:pPr>
      <w:proofErr w:type="spellStart"/>
      <w:r w:rsidRPr="008472C0">
        <w:rPr>
          <w:rFonts w:ascii="Calibri" w:eastAsiaTheme="minorEastAsia" w:hAnsi="Calibri"/>
          <w:iCs/>
          <w:kern w:val="0"/>
          <w:sz w:val="18"/>
        </w:rPr>
        <w:t>Sefu</w:t>
      </w:r>
      <w:proofErr w:type="spellEnd"/>
      <w:r w:rsidRPr="008472C0">
        <w:rPr>
          <w:rFonts w:ascii="Calibri" w:eastAsiaTheme="minorEastAsia" w:hAnsi="Calibri"/>
          <w:iCs/>
          <w:kern w:val="0"/>
          <w:sz w:val="18"/>
        </w:rPr>
        <w:t xml:space="preserve"> G, </w:t>
      </w:r>
      <w:proofErr w:type="spellStart"/>
      <w:r w:rsidRPr="008472C0">
        <w:rPr>
          <w:rFonts w:ascii="Calibri" w:eastAsiaTheme="minorEastAsia" w:hAnsi="Calibri"/>
          <w:iCs/>
          <w:kern w:val="0"/>
          <w:sz w:val="18"/>
        </w:rPr>
        <w:t>Satheesh</w:t>
      </w:r>
      <w:proofErr w:type="spellEnd"/>
      <w:r w:rsidRPr="008472C0">
        <w:rPr>
          <w:rFonts w:ascii="Calibri" w:eastAsiaTheme="minorEastAsia" w:hAnsi="Calibri"/>
          <w:iCs/>
          <w:kern w:val="0"/>
          <w:sz w:val="18"/>
        </w:rPr>
        <w:t xml:space="preserve"> N</w:t>
      </w:r>
      <w:r w:rsidR="00014568" w:rsidRPr="008472C0">
        <w:rPr>
          <w:rFonts w:ascii="Calibri" w:eastAsiaTheme="minorEastAsia" w:hAnsi="Calibri"/>
          <w:iCs/>
          <w:kern w:val="0"/>
          <w:sz w:val="18"/>
        </w:rPr>
        <w:t xml:space="preserve">, </w:t>
      </w:r>
      <w:proofErr w:type="spellStart"/>
      <w:r w:rsidRPr="008472C0">
        <w:rPr>
          <w:rFonts w:ascii="Calibri" w:eastAsiaTheme="minorEastAsia" w:hAnsi="Calibri"/>
          <w:iCs/>
          <w:kern w:val="0"/>
          <w:sz w:val="18"/>
        </w:rPr>
        <w:t>Berecha</w:t>
      </w:r>
      <w:proofErr w:type="spellEnd"/>
      <w:r w:rsidRPr="008472C0">
        <w:rPr>
          <w:rFonts w:ascii="Calibri" w:eastAsiaTheme="minorEastAsia" w:hAnsi="Calibri"/>
          <w:iCs/>
          <w:kern w:val="0"/>
          <w:sz w:val="18"/>
        </w:rPr>
        <w:t xml:space="preserve"> G</w:t>
      </w:r>
      <w:r w:rsidR="00014568" w:rsidRPr="008472C0">
        <w:rPr>
          <w:rFonts w:ascii="Calibri" w:eastAsiaTheme="minorEastAsia" w:hAnsi="Calibri"/>
          <w:iCs/>
          <w:kern w:val="0"/>
          <w:sz w:val="18"/>
        </w:rPr>
        <w:t xml:space="preserve"> </w:t>
      </w:r>
      <w:r w:rsidRPr="008472C0">
        <w:rPr>
          <w:rFonts w:ascii="Calibri" w:eastAsiaTheme="minorEastAsia" w:hAnsi="Calibri"/>
          <w:iCs/>
          <w:kern w:val="0"/>
          <w:sz w:val="18"/>
        </w:rPr>
        <w:t>(2015)</w:t>
      </w:r>
      <w:r w:rsidR="00014568" w:rsidRPr="008472C0">
        <w:rPr>
          <w:rFonts w:ascii="Calibri" w:eastAsiaTheme="minorEastAsia" w:hAnsi="Calibri"/>
          <w:iCs/>
          <w:kern w:val="0"/>
          <w:sz w:val="18"/>
        </w:rPr>
        <w:t xml:space="preserve"> </w:t>
      </w:r>
      <w:r w:rsidR="00014568" w:rsidRPr="008472C0">
        <w:rPr>
          <w:rFonts w:ascii="Calibri" w:eastAsiaTheme="minorEastAsia" w:hAnsi="Calibri"/>
          <w:bCs/>
          <w:kern w:val="0"/>
          <w:sz w:val="18"/>
        </w:rPr>
        <w:t>Effect of essential oils treatment on anthracnose (</w:t>
      </w:r>
      <w:proofErr w:type="spellStart"/>
      <w:r w:rsidR="00014568" w:rsidRPr="008472C0">
        <w:rPr>
          <w:rFonts w:ascii="Calibri" w:eastAsia="TimesNewRomanPS-BoldItalicMT" w:hAnsi="Calibri"/>
          <w:bCs/>
          <w:i/>
          <w:iCs/>
          <w:kern w:val="0"/>
          <w:sz w:val="18"/>
        </w:rPr>
        <w:t>Colletotrichum</w:t>
      </w:r>
      <w:proofErr w:type="spellEnd"/>
      <w:r w:rsidR="00014568" w:rsidRPr="008472C0">
        <w:rPr>
          <w:rFonts w:ascii="Calibri" w:eastAsia="TimesNewRomanPS-BoldItalicMT" w:hAnsi="Calibri"/>
          <w:bCs/>
          <w:i/>
          <w:iCs/>
          <w:kern w:val="0"/>
          <w:sz w:val="18"/>
        </w:rPr>
        <w:t xml:space="preserve"> </w:t>
      </w:r>
      <w:proofErr w:type="spellStart"/>
      <w:r w:rsidR="00014568" w:rsidRPr="008472C0">
        <w:rPr>
          <w:rFonts w:ascii="Calibri" w:eastAsia="TimesNewRomanPS-BoldItalicMT" w:hAnsi="Calibri"/>
          <w:bCs/>
          <w:i/>
          <w:iCs/>
          <w:kern w:val="0"/>
          <w:sz w:val="18"/>
        </w:rPr>
        <w:t>gloeosporioides</w:t>
      </w:r>
      <w:proofErr w:type="spellEnd"/>
      <w:r w:rsidR="00014568" w:rsidRPr="008472C0">
        <w:rPr>
          <w:rFonts w:ascii="Calibri" w:eastAsia="TimesNewRomanPS-BoldItalicMT" w:hAnsi="Calibri"/>
          <w:bCs/>
          <w:iCs/>
          <w:kern w:val="0"/>
          <w:sz w:val="18"/>
        </w:rPr>
        <w:t xml:space="preserve">) </w:t>
      </w:r>
      <w:r w:rsidR="00014568" w:rsidRPr="008472C0">
        <w:rPr>
          <w:rFonts w:ascii="Calibri" w:eastAsiaTheme="minorEastAsia" w:hAnsi="Calibri"/>
          <w:bCs/>
          <w:kern w:val="0"/>
          <w:sz w:val="18"/>
        </w:rPr>
        <w:t>disease development, quality and shelf life of mango fruits (</w:t>
      </w:r>
      <w:proofErr w:type="spellStart"/>
      <w:r w:rsidR="00014568" w:rsidRPr="008472C0">
        <w:rPr>
          <w:rFonts w:ascii="Calibri" w:eastAsia="TimesNewRomanPS-BoldItalicMT" w:hAnsi="Calibri"/>
          <w:bCs/>
          <w:i/>
          <w:iCs/>
          <w:kern w:val="0"/>
          <w:sz w:val="18"/>
        </w:rPr>
        <w:t>Mangifera</w:t>
      </w:r>
      <w:proofErr w:type="spellEnd"/>
      <w:r w:rsidR="00014568" w:rsidRPr="008472C0">
        <w:rPr>
          <w:rFonts w:ascii="Calibri" w:eastAsia="TimesNewRomanPS-BoldItalicMT" w:hAnsi="Calibri"/>
          <w:bCs/>
          <w:i/>
          <w:iCs/>
          <w:kern w:val="0"/>
          <w:sz w:val="18"/>
        </w:rPr>
        <w:t xml:space="preserve"> </w:t>
      </w:r>
      <w:proofErr w:type="spellStart"/>
      <w:r w:rsidR="00014568" w:rsidRPr="008472C0">
        <w:rPr>
          <w:rFonts w:ascii="Calibri" w:eastAsia="TimesNewRomanPS-BoldItalicMT" w:hAnsi="Calibri"/>
          <w:bCs/>
          <w:i/>
          <w:iCs/>
          <w:kern w:val="0"/>
          <w:sz w:val="18"/>
        </w:rPr>
        <w:t>indica</w:t>
      </w:r>
      <w:proofErr w:type="spellEnd"/>
      <w:r w:rsidR="00014568" w:rsidRPr="008472C0">
        <w:rPr>
          <w:rFonts w:ascii="Calibri" w:eastAsia="TimesNewRomanPS-BoldItalicMT" w:hAnsi="Calibri"/>
          <w:bCs/>
          <w:i/>
          <w:iCs/>
          <w:kern w:val="0"/>
          <w:sz w:val="18"/>
        </w:rPr>
        <w:t xml:space="preserve"> </w:t>
      </w:r>
      <w:r w:rsidR="00014568" w:rsidRPr="008472C0">
        <w:rPr>
          <w:rFonts w:ascii="Calibri" w:eastAsiaTheme="minorEastAsia" w:hAnsi="Calibri"/>
          <w:bCs/>
          <w:kern w:val="0"/>
          <w:sz w:val="18"/>
        </w:rPr>
        <w:t>L). American-Eurasian Journal of Agricultural &amp; Environmental Sciences 15: 2160-2169.</w:t>
      </w:r>
    </w:p>
    <w:p w:rsidR="00014568" w:rsidRPr="008472C0" w:rsidRDefault="00014568" w:rsidP="008472C0">
      <w:pPr>
        <w:pStyle w:val="a8"/>
        <w:numPr>
          <w:ilvl w:val="0"/>
          <w:numId w:val="1"/>
        </w:numPr>
        <w:spacing w:line="216" w:lineRule="exact"/>
        <w:ind w:leftChars="0" w:left="284" w:hanging="284"/>
        <w:rPr>
          <w:rFonts w:ascii="Calibri" w:eastAsia="標楷體" w:hAnsi="Calibri"/>
          <w:kern w:val="0"/>
          <w:sz w:val="18"/>
        </w:rPr>
      </w:pPr>
      <w:r w:rsidRPr="008472C0">
        <w:rPr>
          <w:rFonts w:ascii="Calibri" w:eastAsia="標楷體" w:hAnsi="Calibri"/>
          <w:kern w:val="0"/>
          <w:sz w:val="18"/>
        </w:rPr>
        <w:t xml:space="preserve">Wu ZB, Chi FL, </w:t>
      </w:r>
      <w:proofErr w:type="spellStart"/>
      <w:r w:rsidRPr="008472C0">
        <w:rPr>
          <w:rFonts w:ascii="Calibri" w:eastAsia="標楷體" w:hAnsi="Calibri"/>
          <w:kern w:val="0"/>
          <w:sz w:val="18"/>
        </w:rPr>
        <w:t>Tsay</w:t>
      </w:r>
      <w:proofErr w:type="spellEnd"/>
      <w:r w:rsidRPr="008472C0">
        <w:rPr>
          <w:rFonts w:ascii="Calibri" w:eastAsia="標楷體" w:hAnsi="Calibri"/>
          <w:kern w:val="0"/>
          <w:sz w:val="18"/>
        </w:rPr>
        <w:t xml:space="preserve"> JS (2015) Development of non-pesticide cultivated technique using plant materials to control </w:t>
      </w:r>
      <w:proofErr w:type="spellStart"/>
      <w:r w:rsidRPr="008472C0">
        <w:rPr>
          <w:rFonts w:ascii="Calibri" w:eastAsia="標楷體" w:hAnsi="Calibri"/>
          <w:i/>
          <w:kern w:val="0"/>
          <w:sz w:val="18"/>
        </w:rPr>
        <w:t>Colletotrichum</w:t>
      </w:r>
      <w:proofErr w:type="spellEnd"/>
      <w:r w:rsidRPr="008472C0">
        <w:rPr>
          <w:rFonts w:ascii="Calibri" w:eastAsia="標楷體" w:hAnsi="Calibri"/>
          <w:kern w:val="0"/>
          <w:sz w:val="18"/>
        </w:rPr>
        <w:t xml:space="preserve"> spp. associate with anthracnose on coffee plants in Taiwan. Phytopathology 105: S4.151.</w:t>
      </w:r>
    </w:p>
    <w:p w:rsidR="001A7D08" w:rsidRDefault="001A7D08" w:rsidP="00131E17">
      <w:pPr>
        <w:rPr>
          <w:b/>
        </w:rPr>
        <w:sectPr w:rsidR="001A7D08" w:rsidSect="001A7D08">
          <w:type w:val="continuous"/>
          <w:pgSz w:w="11906" w:h="16838"/>
          <w:pgMar w:top="1741" w:right="601" w:bottom="839" w:left="618" w:header="851" w:footer="992" w:gutter="0"/>
          <w:cols w:num="2" w:space="425"/>
          <w:docGrid w:type="lines" w:linePitch="360"/>
        </w:sectPr>
      </w:pPr>
    </w:p>
    <w:p w:rsidR="004A74B7" w:rsidRDefault="004A74B7" w:rsidP="00131E17">
      <w:pPr>
        <w:rPr>
          <w:rFonts w:hint="eastAsia"/>
          <w:b/>
        </w:rPr>
      </w:pPr>
    </w:p>
    <w:p w:rsidR="001A7D08" w:rsidRDefault="00494C53" w:rsidP="00131E17">
      <w:pPr>
        <w:rPr>
          <w:rFonts w:hint="eastAsia"/>
          <w:b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5E42567C" wp14:editId="31FCAB5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131E17" w:rsidRPr="004A74B7" w:rsidRDefault="00131E17" w:rsidP="00131E17">
      <w:pPr>
        <w:rPr>
          <w:rFonts w:ascii="Calibri" w:hAnsi="Calibri"/>
          <w:b/>
          <w:sz w:val="22"/>
          <w:szCs w:val="20"/>
        </w:rPr>
      </w:pPr>
      <w:r w:rsidRPr="004A74B7">
        <w:rPr>
          <w:rFonts w:ascii="Calibri" w:hAnsi="Calibri"/>
          <w:b/>
          <w:sz w:val="22"/>
          <w:szCs w:val="20"/>
        </w:rPr>
        <w:t>Biography</w:t>
      </w:r>
    </w:p>
    <w:p w:rsidR="00F86B18" w:rsidRPr="004A74B7" w:rsidRDefault="00F86B18" w:rsidP="00F86B18">
      <w:pPr>
        <w:autoSpaceDE w:val="0"/>
        <w:autoSpaceDN w:val="0"/>
        <w:adjustRightInd w:val="0"/>
        <w:rPr>
          <w:rFonts w:ascii="Tw Cen MT" w:eastAsiaTheme="minorEastAsia" w:hAnsi="Tw Cen MT"/>
          <w:kern w:val="0"/>
          <w:sz w:val="18"/>
          <w:szCs w:val="18"/>
        </w:rPr>
      </w:pPr>
      <w:r w:rsidRPr="004A74B7">
        <w:rPr>
          <w:rFonts w:ascii="Tw Cen MT" w:eastAsia="標楷體" w:hAnsi="Tw Cen MT"/>
          <w:kern w:val="0"/>
          <w:sz w:val="18"/>
          <w:szCs w:val="18"/>
        </w:rPr>
        <w:t xml:space="preserve">Wu, </w:t>
      </w:r>
      <w:proofErr w:type="spellStart"/>
      <w:r w:rsidRPr="004A74B7">
        <w:rPr>
          <w:rFonts w:ascii="Tw Cen MT" w:eastAsia="標楷體" w:hAnsi="Tw Cen MT"/>
          <w:kern w:val="0"/>
          <w:sz w:val="18"/>
          <w:szCs w:val="18"/>
        </w:rPr>
        <w:t>Zhong</w:t>
      </w:r>
      <w:proofErr w:type="spellEnd"/>
      <w:r w:rsidRPr="004A74B7">
        <w:rPr>
          <w:rFonts w:ascii="Tw Cen MT" w:eastAsia="標楷體" w:hAnsi="Tw Cen MT"/>
          <w:kern w:val="0"/>
          <w:sz w:val="18"/>
          <w:szCs w:val="18"/>
        </w:rPr>
        <w:t>-Bin</w:t>
      </w:r>
      <w:r w:rsidRPr="004A74B7">
        <w:rPr>
          <w:rFonts w:ascii="Tw Cen MT" w:eastAsiaTheme="minorEastAsia" w:hAnsi="Tw Cen MT"/>
          <w:kern w:val="0"/>
          <w:sz w:val="18"/>
          <w:szCs w:val="18"/>
        </w:rPr>
        <w:t xml:space="preserve"> is an assistant professor in </w:t>
      </w:r>
      <w:r w:rsidRPr="004A74B7">
        <w:rPr>
          <w:rFonts w:ascii="Tw Cen MT" w:eastAsiaTheme="minorEastAsia" w:hAnsi="Tw Cen MT"/>
          <w:sz w:val="18"/>
          <w:szCs w:val="18"/>
        </w:rPr>
        <w:t xml:space="preserve">Department of Horticulture and Landscape Architecture, </w:t>
      </w:r>
      <w:r w:rsidRPr="004A74B7">
        <w:rPr>
          <w:rFonts w:ascii="Tw Cen MT" w:eastAsia="微軟正黑體" w:hAnsi="Tw Cen MT"/>
          <w:sz w:val="18"/>
          <w:szCs w:val="18"/>
        </w:rPr>
        <w:t>National Taitung Jr. College, Taiwan</w:t>
      </w:r>
      <w:r w:rsidRPr="004A74B7">
        <w:rPr>
          <w:rFonts w:ascii="Tw Cen MT" w:eastAsiaTheme="minorEastAsia" w:hAnsi="Tw Cen MT"/>
          <w:kern w:val="0"/>
          <w:sz w:val="18"/>
          <w:szCs w:val="18"/>
        </w:rPr>
        <w:t xml:space="preserve">. His current research programs focus on the (1) </w:t>
      </w:r>
      <w:r w:rsidR="007F1475" w:rsidRPr="004A74B7">
        <w:rPr>
          <w:rFonts w:ascii="Tw Cen MT" w:eastAsiaTheme="minorEastAsia" w:hAnsi="Tw Cen MT"/>
          <w:kern w:val="0"/>
          <w:sz w:val="18"/>
          <w:szCs w:val="18"/>
        </w:rPr>
        <w:t xml:space="preserve">development of </w:t>
      </w:r>
      <w:r w:rsidRPr="004A74B7">
        <w:rPr>
          <w:rFonts w:ascii="Tw Cen MT" w:eastAsiaTheme="minorEastAsia" w:hAnsi="Tw Cen MT"/>
          <w:kern w:val="0"/>
          <w:sz w:val="18"/>
          <w:szCs w:val="18"/>
        </w:rPr>
        <w:t xml:space="preserve">non-pesticide cultivation techniques </w:t>
      </w:r>
      <w:r w:rsidR="007F1475" w:rsidRPr="004A74B7">
        <w:rPr>
          <w:rFonts w:ascii="Tw Cen MT" w:eastAsiaTheme="minorEastAsia" w:hAnsi="Tw Cen MT"/>
          <w:kern w:val="0"/>
          <w:sz w:val="18"/>
          <w:szCs w:val="18"/>
        </w:rPr>
        <w:t xml:space="preserve">by </w:t>
      </w:r>
      <w:r w:rsidRPr="004A74B7">
        <w:rPr>
          <w:rFonts w:ascii="Tw Cen MT" w:eastAsiaTheme="minorEastAsia" w:hAnsi="Tw Cen MT"/>
          <w:kern w:val="0"/>
          <w:sz w:val="18"/>
          <w:szCs w:val="18"/>
        </w:rPr>
        <w:t>using plant materials to control plant disease in organic farming, (2) identification of newly crop diseases and (3) development of detection methods for disease diagnosis.</w:t>
      </w:r>
    </w:p>
    <w:p w:rsidR="00131E17" w:rsidRPr="004A74B7" w:rsidRDefault="00F86B18" w:rsidP="004A74B7">
      <w:pPr>
        <w:ind w:firstLineChars="2150" w:firstLine="3010"/>
        <w:rPr>
          <w:rFonts w:ascii="Arial" w:eastAsia="標楷體" w:hAnsi="Arial" w:cs="Arial"/>
          <w:kern w:val="0"/>
          <w:sz w:val="14"/>
          <w:szCs w:val="14"/>
        </w:rPr>
      </w:pPr>
      <w:r w:rsidRPr="004A74B7">
        <w:rPr>
          <w:rFonts w:ascii="Arial" w:eastAsiaTheme="minorEastAsia" w:hAnsi="Arial" w:cs="Arial"/>
          <w:sz w:val="14"/>
          <w:szCs w:val="14"/>
        </w:rPr>
        <w:t xml:space="preserve">Email: zhong.binwu@ntc.edu.tw </w:t>
      </w:r>
      <w:r w:rsidRPr="004A74B7">
        <w:rPr>
          <w:rFonts w:ascii="Arial" w:eastAsiaTheme="minorEastAsia" w:hAnsi="Arial" w:cs="Arial"/>
          <w:color w:val="0000FF" w:themeColor="hyperlink"/>
          <w:sz w:val="14"/>
          <w:szCs w:val="14"/>
        </w:rPr>
        <w:t xml:space="preserve">           </w:t>
      </w:r>
      <w:r w:rsidRPr="004A74B7">
        <w:rPr>
          <w:rFonts w:ascii="Arial" w:eastAsiaTheme="minorEastAsia" w:hAnsi="Arial" w:cs="Arial"/>
          <w:sz w:val="14"/>
          <w:szCs w:val="14"/>
        </w:rPr>
        <w:t>Contact No</w:t>
      </w:r>
      <w:proofErr w:type="gramStart"/>
      <w:r w:rsidRPr="004A74B7">
        <w:rPr>
          <w:rFonts w:ascii="Arial" w:eastAsiaTheme="minorEastAsia" w:hAnsi="Arial" w:cs="Arial"/>
          <w:sz w:val="14"/>
          <w:szCs w:val="14"/>
        </w:rPr>
        <w:t>:+</w:t>
      </w:r>
      <w:proofErr w:type="gramEnd"/>
      <w:r w:rsidRPr="004A74B7">
        <w:rPr>
          <w:rFonts w:ascii="Arial" w:eastAsiaTheme="minorEastAsia" w:hAnsi="Arial" w:cs="Arial"/>
          <w:sz w:val="14"/>
          <w:szCs w:val="14"/>
        </w:rPr>
        <w:t>886-89-226389 ext.7043</w:t>
      </w:r>
    </w:p>
    <w:sectPr w:rsidR="00131E17" w:rsidRPr="004A74B7" w:rsidSect="001A7D08">
      <w:type w:val="continuous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10C4" w:rsidRDefault="00C010C4" w:rsidP="008E6547">
      <w:r>
        <w:separator/>
      </w:r>
    </w:p>
  </w:endnote>
  <w:endnote w:type="continuationSeparator" w:id="0">
    <w:p w:rsidR="00C010C4" w:rsidRDefault="00C010C4" w:rsidP="008E65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E00002AF" w:usb1="5000E07B" w:usb2="00000000" w:usb3="00000000" w:csb0="0000019F" w:csb1="00000000"/>
  </w:font>
  <w:font w:name="標楷體">
    <w:altName w:val="Microsoft YaHei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AdvGulliv-R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AdvGulliv-I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TimesNewRomanPS-BoldItalicMT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10C4" w:rsidRDefault="00C010C4" w:rsidP="008E6547">
      <w:r>
        <w:separator/>
      </w:r>
    </w:p>
  </w:footnote>
  <w:footnote w:type="continuationSeparator" w:id="0">
    <w:p w:rsidR="00C010C4" w:rsidRDefault="00C010C4" w:rsidP="008E65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D6198B"/>
    <w:multiLevelType w:val="hybridMultilevel"/>
    <w:tmpl w:val="5E72B7B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1323"/>
    <w:rsid w:val="000007E9"/>
    <w:rsid w:val="00014568"/>
    <w:rsid w:val="000324CC"/>
    <w:rsid w:val="00041F80"/>
    <w:rsid w:val="000476D5"/>
    <w:rsid w:val="00072C42"/>
    <w:rsid w:val="000772B4"/>
    <w:rsid w:val="00082613"/>
    <w:rsid w:val="000E3329"/>
    <w:rsid w:val="000F351B"/>
    <w:rsid w:val="000F5DCC"/>
    <w:rsid w:val="00127486"/>
    <w:rsid w:val="00131E17"/>
    <w:rsid w:val="00146FE3"/>
    <w:rsid w:val="001760EA"/>
    <w:rsid w:val="0018603E"/>
    <w:rsid w:val="0018798C"/>
    <w:rsid w:val="001A7D08"/>
    <w:rsid w:val="001B6448"/>
    <w:rsid w:val="001B662E"/>
    <w:rsid w:val="001F502E"/>
    <w:rsid w:val="002159F5"/>
    <w:rsid w:val="00237A29"/>
    <w:rsid w:val="002449AD"/>
    <w:rsid w:val="00247E96"/>
    <w:rsid w:val="00283178"/>
    <w:rsid w:val="00284DD4"/>
    <w:rsid w:val="00300A00"/>
    <w:rsid w:val="003017DE"/>
    <w:rsid w:val="003214D8"/>
    <w:rsid w:val="00352BA2"/>
    <w:rsid w:val="00361323"/>
    <w:rsid w:val="00384E46"/>
    <w:rsid w:val="003A5FE3"/>
    <w:rsid w:val="003C421E"/>
    <w:rsid w:val="004032F9"/>
    <w:rsid w:val="00403D8D"/>
    <w:rsid w:val="004320C3"/>
    <w:rsid w:val="00446539"/>
    <w:rsid w:val="004538D7"/>
    <w:rsid w:val="00456FC0"/>
    <w:rsid w:val="00473485"/>
    <w:rsid w:val="00474B91"/>
    <w:rsid w:val="00480026"/>
    <w:rsid w:val="00485579"/>
    <w:rsid w:val="00494C53"/>
    <w:rsid w:val="004A1B03"/>
    <w:rsid w:val="004A74B7"/>
    <w:rsid w:val="004B0CB3"/>
    <w:rsid w:val="004B4EBC"/>
    <w:rsid w:val="004B5461"/>
    <w:rsid w:val="004B7258"/>
    <w:rsid w:val="004D5BB3"/>
    <w:rsid w:val="0051090B"/>
    <w:rsid w:val="00541E67"/>
    <w:rsid w:val="00573AD3"/>
    <w:rsid w:val="00575B49"/>
    <w:rsid w:val="00583940"/>
    <w:rsid w:val="00585ECF"/>
    <w:rsid w:val="00586E34"/>
    <w:rsid w:val="005A11D1"/>
    <w:rsid w:val="005A269B"/>
    <w:rsid w:val="005A448D"/>
    <w:rsid w:val="005E35E1"/>
    <w:rsid w:val="005F074C"/>
    <w:rsid w:val="005F0800"/>
    <w:rsid w:val="005F64C8"/>
    <w:rsid w:val="005F65EC"/>
    <w:rsid w:val="006013D2"/>
    <w:rsid w:val="00601543"/>
    <w:rsid w:val="00601F60"/>
    <w:rsid w:val="00630DFC"/>
    <w:rsid w:val="0063136C"/>
    <w:rsid w:val="0063426B"/>
    <w:rsid w:val="00655DE3"/>
    <w:rsid w:val="00682DA8"/>
    <w:rsid w:val="00685894"/>
    <w:rsid w:val="006976D9"/>
    <w:rsid w:val="006A0F55"/>
    <w:rsid w:val="006A43DA"/>
    <w:rsid w:val="006B29EE"/>
    <w:rsid w:val="007310D1"/>
    <w:rsid w:val="007B4B67"/>
    <w:rsid w:val="007C01CC"/>
    <w:rsid w:val="007F1475"/>
    <w:rsid w:val="00823117"/>
    <w:rsid w:val="008472C0"/>
    <w:rsid w:val="00880559"/>
    <w:rsid w:val="00895DB7"/>
    <w:rsid w:val="008E6547"/>
    <w:rsid w:val="008F3086"/>
    <w:rsid w:val="00911F4E"/>
    <w:rsid w:val="00917367"/>
    <w:rsid w:val="00926180"/>
    <w:rsid w:val="009544C6"/>
    <w:rsid w:val="00955215"/>
    <w:rsid w:val="009613D8"/>
    <w:rsid w:val="0096631A"/>
    <w:rsid w:val="009722A3"/>
    <w:rsid w:val="009740FE"/>
    <w:rsid w:val="0097617B"/>
    <w:rsid w:val="009C4F2D"/>
    <w:rsid w:val="009D0179"/>
    <w:rsid w:val="009E05F8"/>
    <w:rsid w:val="009E23A8"/>
    <w:rsid w:val="009E470B"/>
    <w:rsid w:val="009E5EF2"/>
    <w:rsid w:val="009F2774"/>
    <w:rsid w:val="00A072FB"/>
    <w:rsid w:val="00A27017"/>
    <w:rsid w:val="00A52523"/>
    <w:rsid w:val="00A55933"/>
    <w:rsid w:val="00A646C4"/>
    <w:rsid w:val="00A67AE8"/>
    <w:rsid w:val="00A76232"/>
    <w:rsid w:val="00AA170B"/>
    <w:rsid w:val="00AC0813"/>
    <w:rsid w:val="00B43AC5"/>
    <w:rsid w:val="00B65B62"/>
    <w:rsid w:val="00BA384F"/>
    <w:rsid w:val="00BC1D0D"/>
    <w:rsid w:val="00BD2FE0"/>
    <w:rsid w:val="00BE41EB"/>
    <w:rsid w:val="00C010C4"/>
    <w:rsid w:val="00C152F8"/>
    <w:rsid w:val="00C15B0A"/>
    <w:rsid w:val="00C24D07"/>
    <w:rsid w:val="00C26A83"/>
    <w:rsid w:val="00C32BD2"/>
    <w:rsid w:val="00C8573E"/>
    <w:rsid w:val="00C97FBE"/>
    <w:rsid w:val="00D06DC0"/>
    <w:rsid w:val="00D152C5"/>
    <w:rsid w:val="00D52002"/>
    <w:rsid w:val="00D72E7F"/>
    <w:rsid w:val="00DA1154"/>
    <w:rsid w:val="00DB07FF"/>
    <w:rsid w:val="00DB6723"/>
    <w:rsid w:val="00DC117E"/>
    <w:rsid w:val="00DE0229"/>
    <w:rsid w:val="00DF34A8"/>
    <w:rsid w:val="00E0622D"/>
    <w:rsid w:val="00E91257"/>
    <w:rsid w:val="00EA2CB4"/>
    <w:rsid w:val="00EC11F7"/>
    <w:rsid w:val="00ED0F8D"/>
    <w:rsid w:val="00F07134"/>
    <w:rsid w:val="00F11E21"/>
    <w:rsid w:val="00F1224F"/>
    <w:rsid w:val="00F267AB"/>
    <w:rsid w:val="00F56C70"/>
    <w:rsid w:val="00F721F0"/>
    <w:rsid w:val="00F81A5E"/>
    <w:rsid w:val="00F86B18"/>
    <w:rsid w:val="00F87ACC"/>
    <w:rsid w:val="00FA0515"/>
    <w:rsid w:val="00FA24ED"/>
    <w:rsid w:val="00FC742F"/>
    <w:rsid w:val="00FC7A86"/>
    <w:rsid w:val="00FD44D3"/>
    <w:rsid w:val="00FF41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76D9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t">
    <w:name w:val="st"/>
    <w:basedOn w:val="a0"/>
    <w:rsid w:val="00361323"/>
  </w:style>
  <w:style w:type="character" w:styleId="a3">
    <w:name w:val="Emphasis"/>
    <w:basedOn w:val="a0"/>
    <w:uiPriority w:val="20"/>
    <w:qFormat/>
    <w:rsid w:val="00361323"/>
    <w:rPr>
      <w:b w:val="0"/>
      <w:bCs w:val="0"/>
      <w:i w:val="0"/>
      <w:iCs w:val="0"/>
      <w:color w:val="CC0033"/>
    </w:rPr>
  </w:style>
  <w:style w:type="paragraph" w:styleId="a4">
    <w:name w:val="header"/>
    <w:basedOn w:val="a"/>
    <w:link w:val="a5"/>
    <w:uiPriority w:val="99"/>
    <w:unhideWhenUsed/>
    <w:rsid w:val="008E6547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8E6547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8E6547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8E6547"/>
    <w:rPr>
      <w:sz w:val="20"/>
      <w:szCs w:val="20"/>
    </w:rPr>
  </w:style>
  <w:style w:type="character" w:customStyle="1" w:styleId="st1">
    <w:name w:val="st1"/>
    <w:basedOn w:val="a0"/>
    <w:rsid w:val="009544C6"/>
  </w:style>
  <w:style w:type="paragraph" w:styleId="a8">
    <w:name w:val="List Paragraph"/>
    <w:basedOn w:val="a"/>
    <w:uiPriority w:val="34"/>
    <w:qFormat/>
    <w:rsid w:val="00014568"/>
    <w:pPr>
      <w:ind w:leftChars="200" w:left="480"/>
    </w:pPr>
  </w:style>
  <w:style w:type="paragraph" w:styleId="a9">
    <w:name w:val="Balloon Text"/>
    <w:basedOn w:val="a"/>
    <w:link w:val="aa"/>
    <w:uiPriority w:val="99"/>
    <w:semiHidden/>
    <w:unhideWhenUsed/>
    <w:rsid w:val="00131E17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131E17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5A269B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5A269B"/>
    <w:rPr>
      <w:rFonts w:asciiTheme="minorHAnsi" w:eastAsiaTheme="minorEastAsia" w:hAnsiTheme="minorHAnsi" w:cstheme="minorBidi"/>
      <w:sz w:val="20"/>
      <w:szCs w:val="20"/>
    </w:rPr>
  </w:style>
  <w:style w:type="character" w:customStyle="1" w:styleId="ad">
    <w:name w:val="註解文字 字元"/>
    <w:basedOn w:val="a0"/>
    <w:link w:val="ac"/>
    <w:uiPriority w:val="99"/>
    <w:semiHidden/>
    <w:rsid w:val="005A269B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76D9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t">
    <w:name w:val="st"/>
    <w:basedOn w:val="a0"/>
    <w:rsid w:val="00361323"/>
  </w:style>
  <w:style w:type="character" w:styleId="a3">
    <w:name w:val="Emphasis"/>
    <w:basedOn w:val="a0"/>
    <w:uiPriority w:val="20"/>
    <w:qFormat/>
    <w:rsid w:val="00361323"/>
    <w:rPr>
      <w:b w:val="0"/>
      <w:bCs w:val="0"/>
      <w:i w:val="0"/>
      <w:iCs w:val="0"/>
      <w:color w:val="CC0033"/>
    </w:rPr>
  </w:style>
  <w:style w:type="paragraph" w:styleId="a4">
    <w:name w:val="header"/>
    <w:basedOn w:val="a"/>
    <w:link w:val="a5"/>
    <w:uiPriority w:val="99"/>
    <w:unhideWhenUsed/>
    <w:rsid w:val="008E6547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8E6547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8E6547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8E6547"/>
    <w:rPr>
      <w:sz w:val="20"/>
      <w:szCs w:val="20"/>
    </w:rPr>
  </w:style>
  <w:style w:type="character" w:customStyle="1" w:styleId="st1">
    <w:name w:val="st1"/>
    <w:basedOn w:val="a0"/>
    <w:rsid w:val="009544C6"/>
  </w:style>
  <w:style w:type="paragraph" w:styleId="a8">
    <w:name w:val="List Paragraph"/>
    <w:basedOn w:val="a"/>
    <w:uiPriority w:val="34"/>
    <w:qFormat/>
    <w:rsid w:val="00014568"/>
    <w:pPr>
      <w:ind w:leftChars="200" w:left="480"/>
    </w:pPr>
  </w:style>
  <w:style w:type="paragraph" w:styleId="a9">
    <w:name w:val="Balloon Text"/>
    <w:basedOn w:val="a"/>
    <w:link w:val="aa"/>
    <w:uiPriority w:val="99"/>
    <w:semiHidden/>
    <w:unhideWhenUsed/>
    <w:rsid w:val="00131E17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131E17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5A269B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5A269B"/>
    <w:rPr>
      <w:rFonts w:asciiTheme="minorHAnsi" w:eastAsiaTheme="minorEastAsia" w:hAnsiTheme="minorHAnsi" w:cstheme="minorBidi"/>
      <w:sz w:val="20"/>
      <w:szCs w:val="20"/>
    </w:rPr>
  </w:style>
  <w:style w:type="character" w:customStyle="1" w:styleId="ad">
    <w:name w:val="註解文字 字元"/>
    <w:basedOn w:val="a0"/>
    <w:link w:val="ac"/>
    <w:uiPriority w:val="99"/>
    <w:semiHidden/>
    <w:rsid w:val="005A269B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54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AEA2DB-3B90-4F29-A682-F7C091B9DF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598</Words>
  <Characters>3412</Characters>
  <Application>Microsoft Office Word</Application>
  <DocSecurity>0</DocSecurity>
  <Lines>28</Lines>
  <Paragraphs>8</Paragraphs>
  <ScaleCrop>false</ScaleCrop>
  <Company/>
  <LinksUpToDate>false</LinksUpToDate>
  <CharactersWithSpaces>4002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dcterms:created xsi:type="dcterms:W3CDTF">2019-03-13T02:27:00Z</dcterms:created>
  <dcterms:modified xsi:type="dcterms:W3CDTF">2019-03-13T02:53:00Z</dcterms:modified>
</cp:coreProperties>
</file>