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90" w:rsidRPr="00514090" w:rsidRDefault="00514090" w:rsidP="00514090">
      <w:pPr>
        <w:spacing w:line="240" w:lineRule="auto"/>
        <w:ind w:left="288" w:right="288"/>
        <w:jc w:val="center"/>
        <w:rPr>
          <w:rFonts w:ascii="Garamond" w:eastAsia="Calibri" w:hAnsi="Garamond" w:cs="Times New Roman"/>
          <w:b/>
          <w:sz w:val="24"/>
          <w:szCs w:val="24"/>
        </w:rPr>
      </w:pPr>
      <w:r w:rsidRPr="00514090">
        <w:rPr>
          <w:rFonts w:ascii="Garamond" w:eastAsia="Calibri" w:hAnsi="Garamond" w:cs="Times New Roman"/>
          <w:b/>
          <w:sz w:val="24"/>
          <w:szCs w:val="24"/>
        </w:rPr>
        <w:t>The Impact of Agriculture Trade Liberalisation on Agriculture Total Factor Productivity Growth in Africa.</w:t>
      </w:r>
    </w:p>
    <w:p w:rsidR="00514090" w:rsidRPr="00514090" w:rsidRDefault="00514090" w:rsidP="00514090">
      <w:pPr>
        <w:spacing w:line="240" w:lineRule="auto"/>
        <w:ind w:left="648" w:right="288" w:hanging="360"/>
        <w:rPr>
          <w:rFonts w:ascii="Garamond" w:eastAsia="Calibri" w:hAnsi="Garamond" w:cs="Times New Roman"/>
          <w:sz w:val="24"/>
          <w:szCs w:val="24"/>
        </w:rPr>
      </w:pPr>
      <w:r w:rsidRPr="00514090">
        <w:rPr>
          <w:rFonts w:ascii="Garamond" w:eastAsia="Calibri" w:hAnsi="Garamond" w:cs="Times New Roman"/>
          <w:sz w:val="24"/>
          <w:szCs w:val="24"/>
        </w:rPr>
        <w:t>Regret Sunge*</w:t>
      </w:r>
    </w:p>
    <w:p w:rsidR="00514090" w:rsidRPr="00514090" w:rsidRDefault="00514090" w:rsidP="00514090">
      <w:pPr>
        <w:spacing w:line="240" w:lineRule="auto"/>
        <w:ind w:left="288" w:right="288"/>
        <w:rPr>
          <w:rFonts w:ascii="Garamond" w:eastAsia="Calibri" w:hAnsi="Garamond" w:cs="Times New Roman"/>
          <w:sz w:val="24"/>
          <w:szCs w:val="24"/>
        </w:rPr>
      </w:pPr>
      <w:r w:rsidRPr="00514090">
        <w:rPr>
          <w:rFonts w:ascii="Garamond" w:eastAsia="Calibri" w:hAnsi="Garamond" w:cs="Times New Roman"/>
          <w:sz w:val="24"/>
          <w:szCs w:val="24"/>
        </w:rPr>
        <w:t xml:space="preserve">Great Zimbabwe University, Department of Economics, </w:t>
      </w:r>
      <w:proofErr w:type="spellStart"/>
      <w:r w:rsidRPr="00514090">
        <w:rPr>
          <w:rFonts w:ascii="Garamond" w:eastAsia="Calibri" w:hAnsi="Garamond" w:cs="Times New Roman"/>
          <w:sz w:val="24"/>
          <w:szCs w:val="24"/>
        </w:rPr>
        <w:t>P.O.Box</w:t>
      </w:r>
      <w:proofErr w:type="spellEnd"/>
      <w:r w:rsidRPr="00514090">
        <w:rPr>
          <w:rFonts w:ascii="Garamond" w:eastAsia="Calibri" w:hAnsi="Garamond" w:cs="Times New Roman"/>
          <w:sz w:val="24"/>
          <w:szCs w:val="24"/>
        </w:rPr>
        <w:t xml:space="preserve"> 1235, Off Old-Great Zimbabwe Road, </w:t>
      </w:r>
      <w:proofErr w:type="spellStart"/>
      <w:r w:rsidRPr="00514090">
        <w:rPr>
          <w:rFonts w:ascii="Garamond" w:eastAsia="Calibri" w:hAnsi="Garamond" w:cs="Times New Roman"/>
          <w:sz w:val="24"/>
          <w:szCs w:val="24"/>
        </w:rPr>
        <w:t>Mashava</w:t>
      </w:r>
      <w:proofErr w:type="spellEnd"/>
      <w:r w:rsidRPr="00514090">
        <w:rPr>
          <w:rFonts w:ascii="Garamond" w:eastAsia="Calibri" w:hAnsi="Garamond" w:cs="Times New Roman"/>
          <w:sz w:val="24"/>
          <w:szCs w:val="24"/>
        </w:rPr>
        <w:t>, Masvingo , Tel +263 772 243 599, E-mail: rsunge@gzu.ac.zw</w:t>
      </w:r>
    </w:p>
    <w:p w:rsidR="00514090" w:rsidRPr="00514090" w:rsidRDefault="00514090" w:rsidP="00514090">
      <w:pPr>
        <w:spacing w:line="240" w:lineRule="auto"/>
        <w:ind w:left="288" w:right="288"/>
        <w:rPr>
          <w:rFonts w:ascii="Garamond" w:eastAsia="Calibri" w:hAnsi="Garamond" w:cs="Times New Roman"/>
          <w:sz w:val="24"/>
          <w:szCs w:val="24"/>
        </w:rPr>
      </w:pPr>
      <w:r w:rsidRPr="00514090">
        <w:rPr>
          <w:rFonts w:ascii="Garamond" w:eastAsia="Calibri" w:hAnsi="Garamond" w:cs="Times New Roman"/>
          <w:sz w:val="24"/>
          <w:szCs w:val="24"/>
        </w:rPr>
        <w:t xml:space="preserve">Nicholas </w:t>
      </w:r>
      <w:proofErr w:type="spellStart"/>
      <w:r w:rsidRPr="00514090">
        <w:rPr>
          <w:rFonts w:ascii="Garamond" w:eastAsia="Calibri" w:hAnsi="Garamond" w:cs="Times New Roman"/>
          <w:sz w:val="24"/>
          <w:szCs w:val="24"/>
        </w:rPr>
        <w:t>Ngepah</w:t>
      </w:r>
      <w:proofErr w:type="spellEnd"/>
    </w:p>
    <w:p w:rsidR="00514090" w:rsidRPr="00514090" w:rsidRDefault="00514090" w:rsidP="00514090">
      <w:pPr>
        <w:spacing w:line="240" w:lineRule="auto"/>
        <w:ind w:left="288" w:right="288"/>
        <w:rPr>
          <w:rFonts w:ascii="Garamond" w:eastAsia="Calibri" w:hAnsi="Garamond" w:cs="Times New Roman"/>
          <w:sz w:val="24"/>
          <w:szCs w:val="24"/>
        </w:rPr>
      </w:pPr>
      <w:r w:rsidRPr="00514090">
        <w:rPr>
          <w:rFonts w:ascii="Garamond" w:eastAsia="Calibri" w:hAnsi="Garamond" w:cs="Times New Roman"/>
          <w:sz w:val="24"/>
          <w:szCs w:val="24"/>
        </w:rPr>
        <w:t xml:space="preserve">University of Johannesburg, School of Economics, </w:t>
      </w:r>
      <w:proofErr w:type="spellStart"/>
      <w:r w:rsidRPr="00514090">
        <w:rPr>
          <w:rFonts w:ascii="Garamond" w:eastAsia="Calibri" w:hAnsi="Garamond" w:cs="Times New Roman"/>
          <w:sz w:val="24"/>
          <w:szCs w:val="24"/>
        </w:rPr>
        <w:t>P.O</w:t>
      </w:r>
      <w:proofErr w:type="spellEnd"/>
      <w:r w:rsidRPr="00514090">
        <w:rPr>
          <w:rFonts w:ascii="Garamond" w:eastAsia="Calibri" w:hAnsi="Garamond" w:cs="Times New Roman"/>
          <w:sz w:val="24"/>
          <w:szCs w:val="24"/>
        </w:rPr>
        <w:t xml:space="preserve"> Box 524, Auckland Park, 2006, South Africa, Tel: +27733789075, E-mail: </w:t>
      </w:r>
      <w:hyperlink r:id="rId4" w:history="1">
        <w:r w:rsidRPr="00514090">
          <w:rPr>
            <w:rFonts w:ascii="Garamond" w:eastAsia="Calibri" w:hAnsi="Garamond" w:cs="Times New Roman"/>
            <w:color w:val="0563C1"/>
            <w:sz w:val="24"/>
            <w:szCs w:val="24"/>
            <w:u w:val="single"/>
          </w:rPr>
          <w:t>nngepah@uj.ac.za</w:t>
        </w:r>
      </w:hyperlink>
      <w:r w:rsidRPr="00514090">
        <w:rPr>
          <w:rFonts w:ascii="Garamond" w:eastAsia="Calibri" w:hAnsi="Garamond" w:cs="Times New Roman"/>
          <w:sz w:val="24"/>
          <w:szCs w:val="24"/>
        </w:rPr>
        <w:t xml:space="preserve"> </w:t>
      </w:r>
    </w:p>
    <w:p w:rsidR="00514090" w:rsidRPr="00514090" w:rsidRDefault="00514090" w:rsidP="00514090">
      <w:pPr>
        <w:spacing w:line="240" w:lineRule="auto"/>
        <w:ind w:left="288" w:right="288"/>
        <w:jc w:val="both"/>
        <w:rPr>
          <w:rFonts w:ascii="Garamond" w:eastAsia="Calibri" w:hAnsi="Garamond" w:cs="Times New Roman"/>
          <w:b/>
          <w:sz w:val="24"/>
          <w:szCs w:val="24"/>
        </w:rPr>
      </w:pPr>
      <w:r w:rsidRPr="00514090">
        <w:rPr>
          <w:rFonts w:ascii="Garamond" w:eastAsia="Calibri" w:hAnsi="Garamond" w:cs="Times New Roman"/>
          <w:b/>
          <w:sz w:val="24"/>
          <w:szCs w:val="24"/>
        </w:rPr>
        <w:t>* Corresponding Author</w:t>
      </w:r>
      <w:bookmarkStart w:id="0" w:name="_GoBack"/>
      <w:bookmarkEnd w:id="0"/>
    </w:p>
    <w:p w:rsidR="00514090" w:rsidRPr="00514090" w:rsidRDefault="00514090" w:rsidP="00514090">
      <w:pPr>
        <w:tabs>
          <w:tab w:val="left" w:pos="6495"/>
        </w:tabs>
        <w:spacing w:after="0" w:line="240" w:lineRule="auto"/>
        <w:ind w:left="648" w:right="288" w:hanging="360"/>
        <w:jc w:val="both"/>
        <w:rPr>
          <w:rFonts w:ascii="Garamond" w:eastAsia="Calibri" w:hAnsi="Garamond" w:cs="Times New Roman"/>
          <w:b/>
          <w:sz w:val="24"/>
          <w:szCs w:val="24"/>
        </w:rPr>
      </w:pPr>
      <w:r w:rsidRPr="00514090">
        <w:rPr>
          <w:rFonts w:ascii="Garamond" w:eastAsia="Calibri" w:hAnsi="Garamond" w:cs="Times New Roman"/>
          <w:b/>
          <w:sz w:val="24"/>
          <w:szCs w:val="24"/>
        </w:rPr>
        <w:t>Abstract</w:t>
      </w:r>
      <w:r w:rsidRPr="00514090">
        <w:rPr>
          <w:rFonts w:ascii="Garamond" w:eastAsia="Calibri" w:hAnsi="Garamond" w:cs="Times New Roman"/>
          <w:b/>
          <w:sz w:val="24"/>
          <w:szCs w:val="24"/>
        </w:rPr>
        <w:tab/>
      </w:r>
    </w:p>
    <w:p w:rsidR="00514090" w:rsidRPr="00514090" w:rsidRDefault="00514090" w:rsidP="00514090">
      <w:pPr>
        <w:spacing w:after="0" w:line="240" w:lineRule="auto"/>
        <w:ind w:left="288" w:right="288"/>
        <w:jc w:val="both"/>
        <w:rPr>
          <w:rFonts w:ascii="Garamond" w:eastAsia="Calibri" w:hAnsi="Garamond" w:cs="Times New Roman"/>
          <w:sz w:val="24"/>
          <w:szCs w:val="24"/>
        </w:rPr>
      </w:pPr>
      <w:r w:rsidRPr="00514090">
        <w:rPr>
          <w:rFonts w:ascii="Garamond" w:eastAsia="Calibri" w:hAnsi="Garamond" w:cs="Times New Roman"/>
          <w:sz w:val="24"/>
          <w:szCs w:val="24"/>
          <w:lang w:val="en-ZW"/>
        </w:rPr>
        <w:t>This paper examines the impact of agricultural trade liberalisation on agricultural total factor productivity (</w:t>
      </w:r>
      <w:proofErr w:type="spellStart"/>
      <w:r w:rsidRPr="00514090">
        <w:rPr>
          <w:rFonts w:ascii="Garamond" w:eastAsia="Calibri" w:hAnsi="Garamond" w:cs="Times New Roman"/>
          <w:sz w:val="24"/>
          <w:szCs w:val="24"/>
          <w:lang w:val="en-ZW"/>
        </w:rPr>
        <w:t>TFP</w:t>
      </w:r>
      <w:proofErr w:type="spellEnd"/>
      <w:r w:rsidRPr="00514090">
        <w:rPr>
          <w:rFonts w:ascii="Garamond" w:eastAsia="Calibri" w:hAnsi="Garamond" w:cs="Times New Roman"/>
          <w:sz w:val="24"/>
          <w:szCs w:val="24"/>
          <w:lang w:val="en-ZW"/>
        </w:rPr>
        <w:t xml:space="preserve">)  growth in Africa using panel data for 13 countries from 2005-2016. We contribute to </w:t>
      </w:r>
      <w:r w:rsidRPr="00514090">
        <w:rPr>
          <w:rFonts w:ascii="Garamond" w:eastAsia="Calibri" w:hAnsi="Garamond" w:cs="Times New Roman"/>
          <w:sz w:val="24"/>
          <w:szCs w:val="24"/>
        </w:rPr>
        <w:t xml:space="preserve">existing literature in two ways. Firstly, we analyze the impact of domestic agriculture support to provide a just reflection of the impact of agriculture trade liberalisation in spirit of the Agreement on Agriculture. Secondly, we invite the South-South versus South-North debate into the agriculture sector. We examine the impact of trade by source, split between trade with Africa and trade with outside Africa. Our analysis follows two stages. We start by computing the </w:t>
      </w:r>
      <w:proofErr w:type="spellStart"/>
      <w:r w:rsidRPr="00514090">
        <w:rPr>
          <w:rFonts w:ascii="Garamond" w:eastAsia="Calibri" w:hAnsi="Garamond" w:cs="Times New Roman"/>
          <w:sz w:val="24"/>
          <w:szCs w:val="24"/>
        </w:rPr>
        <w:t>TFP</w:t>
      </w:r>
      <w:proofErr w:type="spellEnd"/>
      <w:r w:rsidRPr="00514090">
        <w:rPr>
          <w:rFonts w:ascii="Garamond" w:eastAsia="Calibri" w:hAnsi="Garamond" w:cs="Times New Roman"/>
          <w:sz w:val="24"/>
          <w:szCs w:val="24"/>
        </w:rPr>
        <w:t xml:space="preserve"> growth for maize and rice using the Malmquist-DEA approach. We then use the Dynamic Fixed Effects (</w:t>
      </w:r>
      <w:proofErr w:type="spellStart"/>
      <w:r w:rsidRPr="00514090">
        <w:rPr>
          <w:rFonts w:ascii="Garamond" w:eastAsia="Calibri" w:hAnsi="Garamond" w:cs="Times New Roman"/>
          <w:sz w:val="24"/>
          <w:szCs w:val="24"/>
        </w:rPr>
        <w:t>DFE</w:t>
      </w:r>
      <w:proofErr w:type="spellEnd"/>
      <w:r w:rsidRPr="00514090">
        <w:rPr>
          <w:rFonts w:ascii="Garamond" w:eastAsia="Calibri" w:hAnsi="Garamond" w:cs="Times New Roman"/>
          <w:sz w:val="24"/>
          <w:szCs w:val="24"/>
        </w:rPr>
        <w:t xml:space="preserve">) to estimate Panel Auto-Regressive Distributed Lag models. Mean </w:t>
      </w:r>
      <w:proofErr w:type="spellStart"/>
      <w:r w:rsidRPr="00514090">
        <w:rPr>
          <w:rFonts w:ascii="Garamond" w:eastAsia="Calibri" w:hAnsi="Garamond" w:cs="Times New Roman"/>
          <w:sz w:val="24"/>
          <w:szCs w:val="24"/>
        </w:rPr>
        <w:t>TFP</w:t>
      </w:r>
      <w:proofErr w:type="spellEnd"/>
      <w:r w:rsidRPr="00514090">
        <w:rPr>
          <w:rFonts w:ascii="Garamond" w:eastAsia="Calibri" w:hAnsi="Garamond" w:cs="Times New Roman"/>
          <w:sz w:val="24"/>
          <w:szCs w:val="24"/>
        </w:rPr>
        <w:t xml:space="preserve"> growth rates for maize and rice are found to be 0.999973 and 0.99522 respectively.  </w:t>
      </w:r>
      <w:proofErr w:type="spellStart"/>
      <w:r w:rsidRPr="00514090">
        <w:rPr>
          <w:rFonts w:ascii="Garamond" w:eastAsia="Calibri" w:hAnsi="Garamond" w:cs="Times New Roman"/>
          <w:sz w:val="24"/>
          <w:szCs w:val="24"/>
        </w:rPr>
        <w:t>DFE</w:t>
      </w:r>
      <w:proofErr w:type="spellEnd"/>
      <w:r w:rsidRPr="00514090">
        <w:rPr>
          <w:rFonts w:ascii="Garamond" w:eastAsia="Calibri" w:hAnsi="Garamond" w:cs="Times New Roman"/>
          <w:sz w:val="24"/>
          <w:szCs w:val="24"/>
        </w:rPr>
        <w:t xml:space="preserve"> estimates suggest that South-North trade provide relatively bigger and statistically significant productivity gains than South-South trade. We also find evidence that domestic agriculture support measures have a positive output effect but a negative productivity effect. In light of this, we appeal that domestic agriculture support should be refocused from producer payments to agriculture R&amp;D and infrastructure development. With regards to South-North offering greater productivity gains, we suggest that in the interest of sustainable growth, Africa should still trade more with the global south. We take courage from recent global economic growth pattern where the global south is enjoying rapid growth against subdued growth in the north. </w:t>
      </w:r>
    </w:p>
    <w:p w:rsidR="00514090" w:rsidRPr="00514090" w:rsidRDefault="00514090" w:rsidP="00514090">
      <w:pPr>
        <w:spacing w:after="0" w:line="240" w:lineRule="auto"/>
        <w:ind w:right="288"/>
        <w:jc w:val="both"/>
        <w:rPr>
          <w:rFonts w:ascii="Garamond" w:eastAsia="Calibri" w:hAnsi="Garamond" w:cs="Times New Roman"/>
          <w:i/>
          <w:sz w:val="24"/>
          <w:szCs w:val="24"/>
        </w:rPr>
      </w:pPr>
    </w:p>
    <w:p w:rsidR="00514090" w:rsidRPr="00514090" w:rsidRDefault="00514090" w:rsidP="00514090">
      <w:pPr>
        <w:spacing w:line="240" w:lineRule="auto"/>
        <w:ind w:left="288" w:right="288"/>
        <w:jc w:val="both"/>
        <w:rPr>
          <w:rFonts w:ascii="Garamond" w:eastAsia="Calibri" w:hAnsi="Garamond" w:cs="Times New Roman"/>
          <w:i/>
          <w:sz w:val="24"/>
          <w:szCs w:val="24"/>
        </w:rPr>
      </w:pPr>
      <w:r w:rsidRPr="00514090">
        <w:rPr>
          <w:rFonts w:ascii="Garamond" w:eastAsia="Calibri" w:hAnsi="Garamond" w:cs="Times New Roman"/>
          <w:b/>
          <w:i/>
          <w:sz w:val="24"/>
          <w:szCs w:val="24"/>
        </w:rPr>
        <w:t xml:space="preserve">Key Words: </w:t>
      </w:r>
      <w:r w:rsidRPr="00514090">
        <w:rPr>
          <w:rFonts w:ascii="Garamond" w:eastAsia="Calibri" w:hAnsi="Garamond" w:cs="Times New Roman"/>
          <w:i/>
          <w:sz w:val="24"/>
          <w:szCs w:val="24"/>
        </w:rPr>
        <w:t>Agriculture Trade Liberalisation,</w:t>
      </w:r>
      <w:r>
        <w:rPr>
          <w:rFonts w:ascii="Garamond" w:eastAsia="Calibri" w:hAnsi="Garamond" w:cs="Times New Roman"/>
          <w:i/>
          <w:sz w:val="24"/>
          <w:szCs w:val="24"/>
        </w:rPr>
        <w:t xml:space="preserve"> Agriculture </w:t>
      </w:r>
      <w:proofErr w:type="spellStart"/>
      <w:r>
        <w:rPr>
          <w:rFonts w:ascii="Garamond" w:eastAsia="Calibri" w:hAnsi="Garamond" w:cs="Times New Roman"/>
          <w:i/>
          <w:sz w:val="24"/>
          <w:szCs w:val="24"/>
        </w:rPr>
        <w:t>TFP</w:t>
      </w:r>
      <w:proofErr w:type="spellEnd"/>
      <w:r>
        <w:rPr>
          <w:rFonts w:ascii="Garamond" w:eastAsia="Calibri" w:hAnsi="Garamond" w:cs="Times New Roman"/>
          <w:i/>
          <w:sz w:val="24"/>
          <w:szCs w:val="24"/>
        </w:rPr>
        <w:t xml:space="preserve">, Panel </w:t>
      </w:r>
      <w:proofErr w:type="spellStart"/>
      <w:r>
        <w:rPr>
          <w:rFonts w:ascii="Garamond" w:eastAsia="Calibri" w:hAnsi="Garamond" w:cs="Times New Roman"/>
          <w:i/>
          <w:sz w:val="24"/>
          <w:szCs w:val="24"/>
        </w:rPr>
        <w:t>ARDL</w:t>
      </w:r>
      <w:proofErr w:type="spellEnd"/>
      <w:r>
        <w:rPr>
          <w:rFonts w:ascii="Garamond" w:eastAsia="Calibri" w:hAnsi="Garamond" w:cs="Times New Roman"/>
          <w:i/>
          <w:sz w:val="24"/>
          <w:szCs w:val="24"/>
        </w:rPr>
        <w:t>.</w:t>
      </w:r>
    </w:p>
    <w:p w:rsidR="00F02567" w:rsidRDefault="00F02567"/>
    <w:sectPr w:rsidR="00F02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090"/>
    <w:rsid w:val="00514090"/>
    <w:rsid w:val="00F02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81566-DDB0-48BA-9099-88FAF226C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ngepah@uj.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Regret Sunge</dc:creator>
  <cp:keywords/>
  <dc:description/>
  <cp:lastModifiedBy>Regret Sunge</cp:lastModifiedBy>
  <cp:revision>1</cp:revision>
  <dcterms:created xsi:type="dcterms:W3CDTF">2019-01-24T08:00:00Z</dcterms:created>
  <dcterms:modified xsi:type="dcterms:W3CDTF">2019-01-24T08:01:00Z</dcterms:modified>
</cp:coreProperties>
</file>