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FCF" w:rsidRPr="00ED7469" w:rsidRDefault="00FF6FCF" w:rsidP="00ED7469">
      <w:pPr>
        <w:ind w:leftChars="-236" w:left="-566"/>
        <w:rPr>
          <w:rFonts w:ascii="Times New Roman" w:hAnsi="Times New Roman" w:cs="Times New Roman" w:hint="eastAsia"/>
          <w:b/>
        </w:rPr>
      </w:pPr>
      <w:r w:rsidRPr="00ED7469">
        <w:rPr>
          <w:rFonts w:ascii="Times New Roman" w:hAnsi="Times New Roman" w:cs="Times New Roman"/>
          <w:b/>
        </w:rPr>
        <w:t>Selective introgression lines-based QTL mapping and QTL-designed breeding in rice</w:t>
      </w:r>
    </w:p>
    <w:p w:rsidR="00EB6F38" w:rsidRPr="005105DD" w:rsidRDefault="00FF6FCF" w:rsidP="00ED7469">
      <w:pPr>
        <w:spacing w:line="320" w:lineRule="exact"/>
        <w:ind w:leftChars="-236" w:left="-566"/>
        <w:rPr>
          <w:rFonts w:ascii="Times New Roman" w:hAnsi="Times New Roman" w:cs="Times New Roman" w:hint="eastAsia"/>
          <w:sz w:val="21"/>
          <w:szCs w:val="21"/>
        </w:rPr>
      </w:pPr>
      <w:proofErr w:type="spellStart"/>
      <w:r w:rsidRPr="005105DD">
        <w:rPr>
          <w:rFonts w:ascii="Times New Roman" w:hAnsi="Times New Roman" w:cs="Times New Roman"/>
          <w:sz w:val="21"/>
          <w:szCs w:val="21"/>
        </w:rPr>
        <w:t>Jianlong</w:t>
      </w:r>
      <w:proofErr w:type="spellEnd"/>
      <w:r w:rsidRPr="005105DD">
        <w:rPr>
          <w:rFonts w:ascii="Times New Roman" w:hAnsi="Times New Roman" w:cs="Times New Roman"/>
          <w:sz w:val="21"/>
          <w:szCs w:val="21"/>
        </w:rPr>
        <w:t xml:space="preserve"> Xu</w:t>
      </w:r>
      <w:r w:rsidR="007C4E32">
        <w:rPr>
          <w:rFonts w:ascii="Times New Roman" w:hAnsi="Times New Roman" w:cs="Times New Roman"/>
          <w:sz w:val="21"/>
          <w:szCs w:val="21"/>
        </w:rPr>
        <w:t>,</w:t>
      </w:r>
      <w:r w:rsidRPr="005105DD">
        <w:rPr>
          <w:rFonts w:ascii="Times New Roman" w:hAnsi="Times New Roman" w:cs="Times New Roman"/>
          <w:sz w:val="21"/>
          <w:szCs w:val="21"/>
        </w:rPr>
        <w:t xml:space="preserve"> </w:t>
      </w:r>
      <w:r w:rsidR="007C4E32">
        <w:rPr>
          <w:rFonts w:ascii="Times New Roman" w:hAnsi="Times New Roman" w:cs="Times New Roman"/>
          <w:sz w:val="21"/>
          <w:szCs w:val="21"/>
        </w:rPr>
        <w:t>Institute of Crop Sciences, Chinese Academy of Agricultural Sciences, Beijing, China</w:t>
      </w:r>
      <w:r w:rsidR="007C4E32" w:rsidRPr="005105DD">
        <w:rPr>
          <w:rFonts w:ascii="Times New Roman" w:hAnsi="Times New Roman" w:cs="Times New Roman"/>
          <w:sz w:val="21"/>
          <w:szCs w:val="21"/>
        </w:rPr>
        <w:t xml:space="preserve"> </w:t>
      </w:r>
      <w:proofErr w:type="spellStart"/>
      <w:r w:rsidRPr="005105DD">
        <w:rPr>
          <w:rFonts w:ascii="Times New Roman" w:hAnsi="Times New Roman" w:cs="Times New Roman"/>
          <w:sz w:val="21"/>
          <w:szCs w:val="21"/>
        </w:rPr>
        <w:t>Zhikang</w:t>
      </w:r>
      <w:proofErr w:type="spellEnd"/>
      <w:r w:rsidRPr="005105DD">
        <w:rPr>
          <w:rFonts w:ascii="Times New Roman" w:hAnsi="Times New Roman" w:cs="Times New Roman"/>
          <w:sz w:val="21"/>
          <w:szCs w:val="21"/>
        </w:rPr>
        <w:t xml:space="preserve"> Li</w:t>
      </w:r>
      <w:r w:rsidR="007C4E32">
        <w:rPr>
          <w:rFonts w:ascii="Times New Roman" w:hAnsi="Times New Roman" w:cs="Times New Roman"/>
          <w:sz w:val="21"/>
          <w:szCs w:val="21"/>
        </w:rPr>
        <w:t xml:space="preserve">, </w:t>
      </w:r>
      <w:r w:rsidR="007C4E32">
        <w:rPr>
          <w:rFonts w:ascii="Times New Roman" w:hAnsi="Times New Roman" w:cs="Times New Roman"/>
          <w:sz w:val="21"/>
          <w:szCs w:val="21"/>
        </w:rPr>
        <w:t>Institute of Crop Sciences, Chinese Academy of Agricultural Sciences, Beijing, China</w:t>
      </w:r>
    </w:p>
    <w:p w:rsidR="0016496A" w:rsidRDefault="0016496A" w:rsidP="00ED7469">
      <w:pPr>
        <w:pStyle w:val="a3"/>
        <w:spacing w:before="0" w:beforeAutospacing="0" w:after="0" w:afterAutospacing="0" w:line="320" w:lineRule="exact"/>
        <w:ind w:leftChars="-236" w:left="-566"/>
        <w:jc w:val="both"/>
        <w:rPr>
          <w:rFonts w:ascii="Times New Roman" w:hAnsi="Times New Roman" w:cs="Times New Roman"/>
          <w:sz w:val="21"/>
          <w:szCs w:val="21"/>
        </w:rPr>
      </w:pPr>
    </w:p>
    <w:p w:rsidR="00ED7469" w:rsidRDefault="00ED7469" w:rsidP="0016496A">
      <w:pPr>
        <w:pStyle w:val="a3"/>
        <w:spacing w:before="0" w:beforeAutospacing="0" w:after="0" w:afterAutospacing="0" w:line="320" w:lineRule="exact"/>
        <w:jc w:val="both"/>
        <w:rPr>
          <w:rFonts w:ascii="Times New Roman" w:hAnsi="Times New Roman" w:cs="Times New Roman"/>
          <w:sz w:val="21"/>
          <w:szCs w:val="21"/>
        </w:rPr>
        <w:sectPr w:rsidR="00ED7469" w:rsidSect="00416631">
          <w:pgSz w:w="11900" w:h="16840"/>
          <w:pgMar w:top="1440" w:right="1800" w:bottom="1440" w:left="1800" w:header="851" w:footer="992" w:gutter="0"/>
          <w:cols w:space="425"/>
          <w:docGrid w:type="lines" w:linePitch="423"/>
        </w:sectPr>
      </w:pPr>
    </w:p>
    <w:p w:rsidR="0016496A" w:rsidRPr="00ED7469" w:rsidRDefault="0016496A" w:rsidP="00ED7469">
      <w:pPr>
        <w:pStyle w:val="a3"/>
        <w:spacing w:before="0" w:beforeAutospacing="0" w:after="0" w:afterAutospacing="0" w:line="320" w:lineRule="exact"/>
        <w:ind w:left="2"/>
        <w:jc w:val="both"/>
        <w:rPr>
          <w:rFonts w:ascii="Times New Roman" w:hAnsi="Times New Roman" w:cs="Times New Roman"/>
          <w:b/>
          <w:sz w:val="21"/>
          <w:szCs w:val="21"/>
        </w:rPr>
      </w:pPr>
      <w:r w:rsidRPr="00ED7469">
        <w:rPr>
          <w:rFonts w:ascii="Times New Roman" w:hAnsi="Times New Roman" w:cs="Times New Roman" w:hint="eastAsia"/>
          <w:b/>
          <w:sz w:val="21"/>
          <w:szCs w:val="21"/>
        </w:rPr>
        <w:t>A</w:t>
      </w:r>
      <w:r w:rsidRPr="00ED7469">
        <w:rPr>
          <w:rFonts w:ascii="Times New Roman" w:hAnsi="Times New Roman" w:cs="Times New Roman"/>
          <w:b/>
          <w:sz w:val="21"/>
          <w:szCs w:val="21"/>
        </w:rPr>
        <w:t>bstract</w:t>
      </w:r>
    </w:p>
    <w:p w:rsidR="005105DD" w:rsidRPr="005105DD" w:rsidRDefault="00FF6FCF" w:rsidP="00ED7469">
      <w:pPr>
        <w:pStyle w:val="a3"/>
        <w:spacing w:before="0" w:beforeAutospacing="0" w:after="0" w:afterAutospacing="0" w:line="320" w:lineRule="exact"/>
        <w:ind w:left="2"/>
        <w:jc w:val="both"/>
        <w:rPr>
          <w:rFonts w:ascii="Times New Roman" w:hAnsi="Times New Roman" w:cs="Times New Roman"/>
          <w:sz w:val="21"/>
          <w:szCs w:val="21"/>
        </w:rPr>
      </w:pPr>
      <w:r w:rsidRPr="005105DD">
        <w:rPr>
          <w:rFonts w:ascii="Times New Roman" w:hAnsi="Times New Roman" w:cs="Times New Roman"/>
          <w:sz w:val="21"/>
          <w:szCs w:val="21"/>
        </w:rPr>
        <w:t xml:space="preserve">Advances in re-sequencing and fast phenotyping technologies greatly facilitate gene mapping and favorable allele mining of important agronomic traits </w:t>
      </w:r>
      <w:r w:rsidR="00F170E6" w:rsidRPr="005105DD">
        <w:rPr>
          <w:rFonts w:ascii="Times New Roman" w:hAnsi="Times New Roman" w:cs="Times New Roman"/>
          <w:sz w:val="21"/>
          <w:szCs w:val="21"/>
        </w:rPr>
        <w:t xml:space="preserve">from germplasms and mapping populations </w:t>
      </w:r>
      <w:r w:rsidRPr="005105DD">
        <w:rPr>
          <w:rFonts w:ascii="Times New Roman" w:hAnsi="Times New Roman" w:cs="Times New Roman"/>
          <w:sz w:val="21"/>
          <w:szCs w:val="21"/>
        </w:rPr>
        <w:t xml:space="preserve">in crops. </w:t>
      </w:r>
      <w:r w:rsidR="00F170E6" w:rsidRPr="005105DD">
        <w:rPr>
          <w:rFonts w:ascii="Times New Roman" w:hAnsi="Times New Roman" w:cs="Times New Roman"/>
          <w:sz w:val="21"/>
          <w:szCs w:val="21"/>
        </w:rPr>
        <w:t xml:space="preserve">However, separation of QTL mapping studies </w:t>
      </w:r>
      <w:r w:rsidR="000A42D8" w:rsidRPr="005105DD">
        <w:rPr>
          <w:rFonts w:ascii="Times New Roman" w:hAnsi="Times New Roman" w:cs="Times New Roman"/>
          <w:sz w:val="21"/>
          <w:szCs w:val="21"/>
        </w:rPr>
        <w:t xml:space="preserve">from breeding practice results in </w:t>
      </w:r>
      <w:r w:rsidR="00F170E6" w:rsidRPr="005105DD">
        <w:rPr>
          <w:rFonts w:ascii="Times New Roman" w:hAnsi="Times New Roman" w:cs="Times New Roman"/>
          <w:sz w:val="21"/>
          <w:szCs w:val="21"/>
        </w:rPr>
        <w:t>difficult</w:t>
      </w:r>
      <w:r w:rsidR="000A42D8" w:rsidRPr="005105DD">
        <w:rPr>
          <w:rFonts w:ascii="Times New Roman" w:hAnsi="Times New Roman" w:cs="Times New Roman"/>
          <w:sz w:val="21"/>
          <w:szCs w:val="21"/>
        </w:rPr>
        <w:t xml:space="preserve"> use of most mapping results in breeding program </w:t>
      </w:r>
      <w:r w:rsidR="00F170E6" w:rsidRPr="005105DD">
        <w:rPr>
          <w:rFonts w:ascii="Times New Roman" w:hAnsi="Times New Roman" w:cs="Times New Roman"/>
          <w:sz w:val="21"/>
          <w:szCs w:val="21"/>
        </w:rPr>
        <w:t>due to sensitivity of QTL to genetic background and environment</w:t>
      </w:r>
      <w:r w:rsidR="000A42D8" w:rsidRPr="005105DD">
        <w:rPr>
          <w:rFonts w:ascii="Times New Roman" w:hAnsi="Times New Roman" w:cs="Times New Roman"/>
          <w:sz w:val="21"/>
          <w:szCs w:val="21"/>
        </w:rPr>
        <w:t xml:space="preserve">. </w:t>
      </w:r>
      <w:r w:rsidR="005105DD" w:rsidRPr="005105DD">
        <w:rPr>
          <w:rFonts w:ascii="Times New Roman" w:hAnsi="Times New Roman" w:cs="Times New Roman"/>
          <w:sz w:val="21"/>
          <w:szCs w:val="21"/>
        </w:rPr>
        <w:t xml:space="preserve">Here, we proposed a selective introgression line strategy to tightly </w:t>
      </w:r>
      <w:r w:rsidR="00EB6F38">
        <w:rPr>
          <w:rFonts w:ascii="Times New Roman" w:hAnsi="Times New Roman" w:cs="Times New Roman"/>
          <w:sz w:val="21"/>
          <w:szCs w:val="21"/>
        </w:rPr>
        <w:t xml:space="preserve">connect </w:t>
      </w:r>
      <w:r w:rsidR="005105DD" w:rsidRPr="005105DD">
        <w:rPr>
          <w:rFonts w:ascii="Times New Roman" w:hAnsi="Times New Roman" w:cs="Times New Roman"/>
          <w:sz w:val="21"/>
          <w:szCs w:val="21"/>
        </w:rPr>
        <w:t xml:space="preserve">QTL mapping and QTL-designed breeding together. </w:t>
      </w:r>
      <w:r w:rsidR="005105DD">
        <w:rPr>
          <w:rFonts w:ascii="Times New Roman" w:hAnsi="Times New Roman" w:cs="Times New Roman"/>
          <w:sz w:val="21"/>
          <w:szCs w:val="21"/>
        </w:rPr>
        <w:t>U</w:t>
      </w:r>
      <w:r w:rsidR="005105DD" w:rsidRPr="005105DD">
        <w:rPr>
          <w:rFonts w:ascii="Times New Roman" w:hAnsi="Times New Roman" w:cs="Times New Roman"/>
          <w:sz w:val="21"/>
          <w:szCs w:val="21"/>
        </w:rPr>
        <w:t xml:space="preserve">sing three sets of trait-specific introgression lines (ILs) in a </w:t>
      </w:r>
      <w:r w:rsidR="005105DD" w:rsidRPr="005105DD">
        <w:rPr>
          <w:rFonts w:ascii="Times New Roman" w:hAnsi="Times New Roman" w:cs="Times New Roman"/>
          <w:i/>
          <w:iCs/>
          <w:sz w:val="21"/>
          <w:szCs w:val="21"/>
        </w:rPr>
        <w:t>Xian (</w:t>
      </w:r>
      <w:proofErr w:type="spellStart"/>
      <w:r w:rsidR="005105DD" w:rsidRPr="005105DD">
        <w:rPr>
          <w:rFonts w:ascii="Times New Roman" w:hAnsi="Times New Roman" w:cs="Times New Roman"/>
          <w:i/>
          <w:iCs/>
          <w:sz w:val="21"/>
          <w:szCs w:val="21"/>
        </w:rPr>
        <w:t>indica</w:t>
      </w:r>
      <w:proofErr w:type="spellEnd"/>
      <w:r w:rsidR="005105DD" w:rsidRPr="005105DD">
        <w:rPr>
          <w:rFonts w:ascii="Times New Roman" w:hAnsi="Times New Roman" w:cs="Times New Roman"/>
          <w:i/>
          <w:iCs/>
          <w:sz w:val="21"/>
          <w:szCs w:val="21"/>
        </w:rPr>
        <w:t xml:space="preserve">) </w:t>
      </w:r>
      <w:r w:rsidR="005105DD" w:rsidRPr="005105DD">
        <w:rPr>
          <w:rFonts w:ascii="Times New Roman" w:hAnsi="Times New Roman" w:cs="Times New Roman"/>
          <w:sz w:val="21"/>
          <w:szCs w:val="21"/>
        </w:rPr>
        <w:t xml:space="preserve">variety </w:t>
      </w:r>
      <w:proofErr w:type="spellStart"/>
      <w:r w:rsidR="005105DD" w:rsidRPr="005105DD">
        <w:rPr>
          <w:rFonts w:ascii="Times New Roman" w:hAnsi="Times New Roman" w:cs="Times New Roman"/>
          <w:sz w:val="21"/>
          <w:szCs w:val="21"/>
        </w:rPr>
        <w:t>Huanghuazhan</w:t>
      </w:r>
      <w:proofErr w:type="spellEnd"/>
      <w:r w:rsidR="005105DD" w:rsidRPr="005105DD">
        <w:rPr>
          <w:rFonts w:ascii="Times New Roman" w:hAnsi="Times New Roman" w:cs="Times New Roman"/>
          <w:sz w:val="21"/>
          <w:szCs w:val="21"/>
        </w:rPr>
        <w:t xml:space="preserve"> (HHZ) background, we identified nine </w:t>
      </w:r>
      <w:r w:rsidR="005105DD">
        <w:rPr>
          <w:rFonts w:ascii="Times New Roman" w:hAnsi="Times New Roman" w:cs="Times New Roman"/>
          <w:sz w:val="21"/>
          <w:szCs w:val="21"/>
        </w:rPr>
        <w:t xml:space="preserve">drought tolerance </w:t>
      </w:r>
      <w:r w:rsidR="00EB6F38">
        <w:rPr>
          <w:rFonts w:ascii="Times New Roman" w:hAnsi="Times New Roman" w:cs="Times New Roman"/>
          <w:sz w:val="21"/>
          <w:szCs w:val="21"/>
        </w:rPr>
        <w:t xml:space="preserve">QTL </w:t>
      </w:r>
      <w:r w:rsidR="005105DD">
        <w:rPr>
          <w:rFonts w:ascii="Times New Roman" w:hAnsi="Times New Roman" w:cs="Times New Roman"/>
          <w:sz w:val="21"/>
          <w:szCs w:val="21"/>
        </w:rPr>
        <w:t>(</w:t>
      </w:r>
      <w:r w:rsidR="005105DD" w:rsidRPr="005105DD">
        <w:rPr>
          <w:rFonts w:ascii="Times New Roman" w:hAnsi="Times New Roman" w:cs="Times New Roman"/>
          <w:sz w:val="21"/>
          <w:szCs w:val="21"/>
        </w:rPr>
        <w:t>DT-QTL</w:t>
      </w:r>
      <w:r w:rsidR="00EB6F38">
        <w:rPr>
          <w:rFonts w:ascii="Times New Roman" w:hAnsi="Times New Roman" w:cs="Times New Roman"/>
          <w:sz w:val="21"/>
          <w:szCs w:val="21"/>
        </w:rPr>
        <w:t>)</w:t>
      </w:r>
      <w:r w:rsidR="005105DD" w:rsidRPr="005105DD">
        <w:rPr>
          <w:rFonts w:ascii="Times New Roman" w:hAnsi="Times New Roman" w:cs="Times New Roman"/>
          <w:sz w:val="21"/>
          <w:szCs w:val="21"/>
        </w:rPr>
        <w:t xml:space="preserve"> and seven </w:t>
      </w:r>
      <w:r w:rsidR="00EB6F38">
        <w:rPr>
          <w:rFonts w:ascii="Times New Roman" w:hAnsi="Times New Roman" w:cs="Times New Roman"/>
          <w:sz w:val="21"/>
          <w:szCs w:val="21"/>
        </w:rPr>
        <w:t>low nitrogen tolerance QTL (</w:t>
      </w:r>
      <w:r w:rsidR="005105DD" w:rsidRPr="005105DD">
        <w:rPr>
          <w:rFonts w:ascii="Times New Roman" w:hAnsi="Times New Roman" w:cs="Times New Roman"/>
          <w:sz w:val="21"/>
          <w:szCs w:val="21"/>
        </w:rPr>
        <w:t>LNT-QTL</w:t>
      </w:r>
      <w:r w:rsidR="00EB6F38">
        <w:rPr>
          <w:rFonts w:ascii="Times New Roman" w:hAnsi="Times New Roman" w:cs="Times New Roman"/>
          <w:sz w:val="21"/>
          <w:szCs w:val="21"/>
        </w:rPr>
        <w:t>)</w:t>
      </w:r>
      <w:r w:rsidR="005105DD" w:rsidRPr="005105DD">
        <w:rPr>
          <w:rFonts w:ascii="Times New Roman" w:hAnsi="Times New Roman" w:cs="Times New Roman"/>
          <w:sz w:val="21"/>
          <w:szCs w:val="21"/>
        </w:rPr>
        <w:t xml:space="preserve"> by a segregation distortion approach and a genome-wide association study, respectively. Based on performances of DT and LNT and genotypes at the detected QTL, two ILs M79 and M387 with DT and LNT were selected for cross-making to validate the identified QTL and to develop DT and LNT rice lines by pyramiding two DT-QTL (</w:t>
      </w:r>
      <w:r w:rsidR="005105DD" w:rsidRPr="005105DD">
        <w:rPr>
          <w:rFonts w:ascii="Times New Roman" w:hAnsi="Times New Roman" w:cs="Times New Roman"/>
          <w:i/>
          <w:iCs/>
          <w:sz w:val="21"/>
          <w:szCs w:val="21"/>
        </w:rPr>
        <w:t xml:space="preserve">qDT3.9 </w:t>
      </w:r>
      <w:r w:rsidR="005105DD" w:rsidRPr="005105DD">
        <w:rPr>
          <w:rFonts w:ascii="Times New Roman" w:hAnsi="Times New Roman" w:cs="Times New Roman"/>
          <w:sz w:val="21"/>
          <w:szCs w:val="21"/>
        </w:rPr>
        <w:t xml:space="preserve">and </w:t>
      </w:r>
      <w:r w:rsidR="005105DD" w:rsidRPr="005105DD">
        <w:rPr>
          <w:rFonts w:ascii="Times New Roman" w:hAnsi="Times New Roman" w:cs="Times New Roman"/>
          <w:i/>
          <w:iCs/>
          <w:sz w:val="21"/>
          <w:szCs w:val="21"/>
        </w:rPr>
        <w:t xml:space="preserve">qDT6.3) </w:t>
      </w:r>
      <w:r w:rsidR="005105DD" w:rsidRPr="005105DD">
        <w:rPr>
          <w:rFonts w:ascii="Times New Roman" w:hAnsi="Times New Roman" w:cs="Times New Roman"/>
          <w:sz w:val="21"/>
          <w:szCs w:val="21"/>
        </w:rPr>
        <w:t xml:space="preserve">and two LNT-QTL </w:t>
      </w:r>
      <w:r w:rsidR="005105DD" w:rsidRPr="005105DD">
        <w:rPr>
          <w:rFonts w:ascii="Times New Roman" w:hAnsi="Times New Roman" w:cs="Times New Roman"/>
          <w:i/>
          <w:iCs/>
          <w:sz w:val="21"/>
          <w:szCs w:val="21"/>
        </w:rPr>
        <w:t xml:space="preserve">(qGY1 </w:t>
      </w:r>
      <w:r w:rsidR="005105DD" w:rsidRPr="005105DD">
        <w:rPr>
          <w:rFonts w:ascii="Times New Roman" w:hAnsi="Times New Roman" w:cs="Times New Roman"/>
          <w:sz w:val="21"/>
          <w:szCs w:val="21"/>
        </w:rPr>
        <w:t xml:space="preserve">and </w:t>
      </w:r>
      <w:r w:rsidR="005105DD" w:rsidRPr="005105DD">
        <w:rPr>
          <w:rFonts w:ascii="Times New Roman" w:hAnsi="Times New Roman" w:cs="Times New Roman"/>
          <w:i/>
          <w:iCs/>
          <w:sz w:val="21"/>
          <w:szCs w:val="21"/>
        </w:rPr>
        <w:t>qSF8</w:t>
      </w:r>
      <w:r w:rsidR="005105DD" w:rsidRPr="005105DD">
        <w:rPr>
          <w:rFonts w:ascii="Times New Roman" w:hAnsi="Times New Roman" w:cs="Times New Roman"/>
          <w:sz w:val="21"/>
          <w:szCs w:val="21"/>
        </w:rPr>
        <w:t xml:space="preserve">). Using four pairs of </w:t>
      </w:r>
      <w:proofErr w:type="spellStart"/>
      <w:r w:rsidR="005105DD" w:rsidRPr="005105DD">
        <w:rPr>
          <w:rFonts w:ascii="Times New Roman" w:hAnsi="Times New Roman" w:cs="Times New Roman"/>
          <w:sz w:val="21"/>
          <w:szCs w:val="21"/>
        </w:rPr>
        <w:t>kompetitive</w:t>
      </w:r>
      <w:proofErr w:type="spellEnd"/>
      <w:r w:rsidR="005105DD" w:rsidRPr="005105DD">
        <w:rPr>
          <w:rFonts w:ascii="Times New Roman" w:hAnsi="Times New Roman" w:cs="Times New Roman"/>
          <w:sz w:val="21"/>
          <w:szCs w:val="21"/>
        </w:rPr>
        <w:t xml:space="preserve"> allele specific PCR (KASP) SNP markers, we selected 66 F</w:t>
      </w:r>
      <w:r w:rsidR="005105DD" w:rsidRPr="005105DD">
        <w:rPr>
          <w:rFonts w:ascii="Times New Roman" w:hAnsi="Times New Roman" w:cs="Times New Roman"/>
          <w:position w:val="-4"/>
          <w:sz w:val="21"/>
          <w:szCs w:val="21"/>
        </w:rPr>
        <w:t xml:space="preserve">2 </w:t>
      </w:r>
      <w:r w:rsidR="005105DD" w:rsidRPr="005105DD">
        <w:rPr>
          <w:rFonts w:ascii="Times New Roman" w:hAnsi="Times New Roman" w:cs="Times New Roman"/>
          <w:sz w:val="21"/>
          <w:szCs w:val="21"/>
        </w:rPr>
        <w:t>individuals with different combinations of the target DT- and LNT-QTL favorable alleles and they showed expected improvement in DT and/or LNT, which were further validated by the significant improvement in DT and/or LNT of their F</w:t>
      </w:r>
      <w:r w:rsidR="005105DD" w:rsidRPr="005105DD">
        <w:rPr>
          <w:rFonts w:ascii="Times New Roman" w:hAnsi="Times New Roman" w:cs="Times New Roman"/>
          <w:position w:val="-4"/>
          <w:sz w:val="21"/>
          <w:szCs w:val="21"/>
        </w:rPr>
        <w:t xml:space="preserve">3 </w:t>
      </w:r>
      <w:r w:rsidR="005105DD" w:rsidRPr="005105DD">
        <w:rPr>
          <w:rFonts w:ascii="Times New Roman" w:hAnsi="Times New Roman" w:cs="Times New Roman"/>
          <w:sz w:val="21"/>
          <w:szCs w:val="21"/>
        </w:rPr>
        <w:t>progeny testing. Based on evaluation of pyramiding lines in F</w:t>
      </w:r>
      <w:r w:rsidR="005105DD" w:rsidRPr="005105DD">
        <w:rPr>
          <w:rFonts w:ascii="Times New Roman" w:hAnsi="Times New Roman" w:cs="Times New Roman"/>
          <w:position w:val="-4"/>
          <w:sz w:val="21"/>
          <w:szCs w:val="21"/>
        </w:rPr>
        <w:t xml:space="preserve">3 </w:t>
      </w:r>
      <w:r w:rsidR="005105DD" w:rsidRPr="005105DD">
        <w:rPr>
          <w:rFonts w:ascii="Times New Roman" w:hAnsi="Times New Roman" w:cs="Times New Roman"/>
          <w:sz w:val="21"/>
          <w:szCs w:val="21"/>
        </w:rPr>
        <w:t xml:space="preserve">lines under </w:t>
      </w:r>
      <w:r w:rsidR="005105DD" w:rsidRPr="005105DD">
        <w:rPr>
          <w:rFonts w:ascii="Times New Roman" w:hAnsi="Times New Roman" w:cs="Times New Roman"/>
          <w:sz w:val="21"/>
          <w:szCs w:val="21"/>
        </w:rPr>
        <w:t xml:space="preserve">drought, low nitrogen (LN) and normal conditions, four promising pyramiding lines having different QTL favorable alleles were selected, which showed significantly improved tolerances to drought and/or LN than HHZ and their IL parents. Our results demonstrated that trait-specific ILs could effectively connect QTL mapping and QTL pyramiding breeding, and designed QTL pyramiding (DQP) using ILs could be more effective in molecular rice breeding for complex quantitative traits. </w:t>
      </w:r>
    </w:p>
    <w:p w:rsidR="0016496A" w:rsidRDefault="0016496A" w:rsidP="00ED7469">
      <w:pPr>
        <w:widowControl/>
        <w:spacing w:line="320" w:lineRule="exact"/>
        <w:ind w:left="-18"/>
        <w:jc w:val="left"/>
        <w:rPr>
          <w:rFonts w:ascii="MinionPro" w:eastAsia="宋体" w:hAnsi="MinionPro" w:cs="宋体"/>
          <w:kern w:val="0"/>
          <w:sz w:val="18"/>
          <w:szCs w:val="18"/>
        </w:rPr>
      </w:pPr>
    </w:p>
    <w:p w:rsidR="0016496A" w:rsidRPr="00ED7469" w:rsidRDefault="0016496A" w:rsidP="00ED7469">
      <w:pPr>
        <w:widowControl/>
        <w:spacing w:line="320" w:lineRule="exact"/>
        <w:ind w:left="-18"/>
        <w:jc w:val="left"/>
        <w:rPr>
          <w:rFonts w:ascii="MinionPro" w:eastAsia="宋体" w:hAnsi="MinionPro" w:cs="宋体"/>
          <w:b/>
          <w:kern w:val="0"/>
          <w:sz w:val="21"/>
          <w:szCs w:val="21"/>
        </w:rPr>
      </w:pPr>
      <w:r w:rsidRPr="00ED7469">
        <w:rPr>
          <w:rFonts w:ascii="MinionPro" w:eastAsia="宋体" w:hAnsi="MinionPro" w:cs="宋体" w:hint="eastAsia"/>
          <w:b/>
          <w:kern w:val="0"/>
          <w:sz w:val="21"/>
          <w:szCs w:val="21"/>
        </w:rPr>
        <w:t>R</w:t>
      </w:r>
      <w:r w:rsidRPr="00ED7469">
        <w:rPr>
          <w:rFonts w:ascii="MinionPro" w:eastAsia="宋体" w:hAnsi="MinionPro" w:cs="宋体"/>
          <w:b/>
          <w:kern w:val="0"/>
          <w:sz w:val="21"/>
          <w:szCs w:val="21"/>
        </w:rPr>
        <w:t>eferences</w:t>
      </w:r>
    </w:p>
    <w:p w:rsidR="005101F8" w:rsidRPr="005101F8" w:rsidRDefault="005101F8" w:rsidP="00ED7469">
      <w:pPr>
        <w:widowControl/>
        <w:spacing w:line="320" w:lineRule="exact"/>
        <w:ind w:left="-18"/>
        <w:jc w:val="left"/>
        <w:rPr>
          <w:rFonts w:ascii="宋体" w:eastAsia="宋体" w:hAnsi="宋体" w:cs="宋体"/>
          <w:kern w:val="0"/>
          <w:sz w:val="18"/>
          <w:szCs w:val="18"/>
        </w:rPr>
      </w:pPr>
      <w:r w:rsidRPr="005101F8">
        <w:rPr>
          <w:rFonts w:ascii="MinionPro" w:eastAsia="宋体" w:hAnsi="MinionPro" w:cs="宋体"/>
          <w:kern w:val="0"/>
          <w:sz w:val="18"/>
          <w:szCs w:val="18"/>
        </w:rPr>
        <w:t>Ali J, Xu JL, Gao YM, et al (2017)</w:t>
      </w:r>
      <w:r w:rsidR="0016496A" w:rsidRPr="0016496A">
        <w:rPr>
          <w:rFonts w:ascii="MinionPro" w:eastAsia="宋体" w:hAnsi="MinionPro" w:cs="宋体"/>
          <w:kern w:val="0"/>
          <w:sz w:val="18"/>
          <w:szCs w:val="18"/>
        </w:rPr>
        <w:t xml:space="preserve"> </w:t>
      </w:r>
      <w:r w:rsidRPr="005101F8">
        <w:rPr>
          <w:rFonts w:ascii="MinionPro" w:eastAsia="宋体" w:hAnsi="MinionPro" w:cs="宋体"/>
          <w:kern w:val="0"/>
          <w:sz w:val="18"/>
          <w:szCs w:val="18"/>
        </w:rPr>
        <w:t>Harnessing the hidden genetic diversity for improving multiple abiotic stress tolerance in rice (</w:t>
      </w:r>
      <w:r w:rsidRPr="005101F8">
        <w:rPr>
          <w:rFonts w:ascii="MinionPro" w:eastAsia="宋体" w:hAnsi="MinionPro" w:cs="宋体"/>
          <w:i/>
          <w:iCs/>
          <w:kern w:val="0"/>
          <w:sz w:val="18"/>
          <w:szCs w:val="18"/>
        </w:rPr>
        <w:t xml:space="preserve">Oryza sativa </w:t>
      </w:r>
      <w:r w:rsidRPr="005101F8">
        <w:rPr>
          <w:rFonts w:ascii="MinionPro" w:eastAsia="宋体" w:hAnsi="MinionPro" w:cs="宋体"/>
          <w:kern w:val="0"/>
          <w:sz w:val="18"/>
          <w:szCs w:val="18"/>
        </w:rPr>
        <w:t xml:space="preserve">L.). </w:t>
      </w:r>
      <w:proofErr w:type="spellStart"/>
      <w:r w:rsidRPr="005101F8">
        <w:rPr>
          <w:rFonts w:ascii="MinionPro" w:eastAsia="宋体" w:hAnsi="MinionPro" w:cs="宋体"/>
          <w:iCs/>
          <w:kern w:val="0"/>
          <w:sz w:val="18"/>
          <w:szCs w:val="18"/>
        </w:rPr>
        <w:t>PLoS</w:t>
      </w:r>
      <w:proofErr w:type="spellEnd"/>
      <w:r w:rsidRPr="005101F8">
        <w:rPr>
          <w:rFonts w:ascii="MinionPro" w:eastAsia="宋体" w:hAnsi="MinionPro" w:cs="宋体"/>
          <w:iCs/>
          <w:kern w:val="0"/>
          <w:sz w:val="18"/>
          <w:szCs w:val="18"/>
        </w:rPr>
        <w:t xml:space="preserve"> One</w:t>
      </w:r>
      <w:r w:rsidRPr="005101F8">
        <w:rPr>
          <w:rFonts w:ascii="MinionPro" w:eastAsia="宋体" w:hAnsi="MinionPro" w:cs="宋体"/>
          <w:i/>
          <w:iCs/>
          <w:kern w:val="0"/>
          <w:sz w:val="18"/>
          <w:szCs w:val="18"/>
        </w:rPr>
        <w:t xml:space="preserve"> </w:t>
      </w:r>
      <w:r w:rsidRPr="005101F8">
        <w:rPr>
          <w:rFonts w:ascii="MinionPro" w:eastAsia="宋体" w:hAnsi="MinionPro" w:cs="宋体"/>
          <w:kern w:val="0"/>
          <w:sz w:val="18"/>
          <w:szCs w:val="18"/>
        </w:rPr>
        <w:t>12:</w:t>
      </w:r>
      <w:r w:rsidR="0016496A" w:rsidRPr="0016496A">
        <w:rPr>
          <w:rFonts w:ascii="MinionPro" w:eastAsia="宋体" w:hAnsi="MinionPro" w:cs="宋体"/>
          <w:kern w:val="0"/>
          <w:sz w:val="18"/>
          <w:szCs w:val="18"/>
        </w:rPr>
        <w:t xml:space="preserve"> </w:t>
      </w:r>
      <w:r w:rsidRPr="005101F8">
        <w:rPr>
          <w:rFonts w:ascii="MinionPro" w:eastAsia="宋体" w:hAnsi="MinionPro" w:cs="宋体"/>
          <w:kern w:val="0"/>
          <w:sz w:val="18"/>
          <w:szCs w:val="18"/>
        </w:rPr>
        <w:t xml:space="preserve">e0172515. </w:t>
      </w:r>
    </w:p>
    <w:p w:rsidR="005101F8" w:rsidRPr="005101F8" w:rsidRDefault="005101F8" w:rsidP="00ED7469">
      <w:pPr>
        <w:widowControl/>
        <w:spacing w:line="320" w:lineRule="exact"/>
        <w:ind w:left="-18"/>
        <w:jc w:val="left"/>
        <w:rPr>
          <w:rFonts w:ascii="宋体" w:eastAsia="宋体" w:hAnsi="宋体" w:cs="宋体"/>
          <w:kern w:val="0"/>
          <w:sz w:val="18"/>
          <w:szCs w:val="18"/>
        </w:rPr>
      </w:pPr>
      <w:r w:rsidRPr="005101F8">
        <w:rPr>
          <w:rFonts w:ascii="MinionPro" w:eastAsia="宋体" w:hAnsi="MinionPro" w:cs="宋体"/>
          <w:kern w:val="0"/>
          <w:sz w:val="18"/>
          <w:szCs w:val="18"/>
        </w:rPr>
        <w:t xml:space="preserve">Cui Y, Zhang F, Xu J, </w:t>
      </w:r>
      <w:r w:rsidR="0016496A" w:rsidRPr="0016496A">
        <w:rPr>
          <w:rFonts w:ascii="MinionPro" w:eastAsia="宋体" w:hAnsi="MinionPro" w:cs="宋体"/>
          <w:kern w:val="0"/>
          <w:sz w:val="18"/>
          <w:szCs w:val="18"/>
        </w:rPr>
        <w:t xml:space="preserve">et al </w:t>
      </w:r>
      <w:r w:rsidRPr="005101F8">
        <w:rPr>
          <w:rFonts w:ascii="MinionPro" w:eastAsia="宋体" w:hAnsi="MinionPro" w:cs="宋体"/>
          <w:kern w:val="0"/>
          <w:sz w:val="18"/>
          <w:szCs w:val="18"/>
        </w:rPr>
        <w:t xml:space="preserve">(2015) Mapping quantitative trait loci in selected breeding populations: a segregation distortion approach. </w:t>
      </w:r>
      <w:r w:rsidRPr="005101F8">
        <w:rPr>
          <w:rFonts w:ascii="MinionPro" w:eastAsia="宋体" w:hAnsi="MinionPro" w:cs="宋体"/>
          <w:iCs/>
          <w:kern w:val="0"/>
          <w:sz w:val="18"/>
          <w:szCs w:val="18"/>
        </w:rPr>
        <w:t>Heredity</w:t>
      </w:r>
      <w:r w:rsidRPr="005101F8">
        <w:rPr>
          <w:rFonts w:ascii="MinionPro" w:eastAsia="宋体" w:hAnsi="MinionPro" w:cs="宋体"/>
          <w:i/>
          <w:iCs/>
          <w:kern w:val="0"/>
          <w:sz w:val="18"/>
          <w:szCs w:val="18"/>
        </w:rPr>
        <w:t xml:space="preserve"> </w:t>
      </w:r>
      <w:r w:rsidRPr="005101F8">
        <w:rPr>
          <w:rFonts w:ascii="MinionPro" w:eastAsia="宋体" w:hAnsi="MinionPro" w:cs="宋体"/>
          <w:kern w:val="0"/>
          <w:sz w:val="18"/>
          <w:szCs w:val="18"/>
        </w:rPr>
        <w:t xml:space="preserve">115, 538–546. </w:t>
      </w:r>
    </w:p>
    <w:p w:rsidR="0016496A" w:rsidRPr="0016496A" w:rsidRDefault="005101F8" w:rsidP="00ED7469">
      <w:pPr>
        <w:widowControl/>
        <w:spacing w:line="320" w:lineRule="exact"/>
        <w:ind w:left="-18"/>
        <w:jc w:val="left"/>
        <w:rPr>
          <w:rFonts w:ascii="MinionPro" w:eastAsia="宋体" w:hAnsi="MinionPro" w:cs="宋体"/>
          <w:kern w:val="0"/>
          <w:sz w:val="18"/>
          <w:szCs w:val="18"/>
        </w:rPr>
      </w:pPr>
      <w:r w:rsidRPr="005101F8">
        <w:rPr>
          <w:rFonts w:ascii="MinionPro" w:eastAsia="宋体" w:hAnsi="MinionPro" w:cs="宋体"/>
          <w:kern w:val="0"/>
          <w:sz w:val="18"/>
          <w:szCs w:val="18"/>
        </w:rPr>
        <w:t>He J, Zhao X, Laroche A</w:t>
      </w:r>
      <w:r w:rsidR="0016496A" w:rsidRPr="0016496A">
        <w:rPr>
          <w:rFonts w:ascii="MinionPro" w:eastAsia="宋体" w:hAnsi="MinionPro" w:cs="宋体"/>
          <w:kern w:val="0"/>
          <w:sz w:val="18"/>
          <w:szCs w:val="18"/>
        </w:rPr>
        <w:t>,</w:t>
      </w:r>
      <w:r w:rsidRPr="005101F8">
        <w:rPr>
          <w:rFonts w:ascii="MinionPro" w:eastAsia="宋体" w:hAnsi="MinionPro" w:cs="宋体"/>
          <w:kern w:val="0"/>
          <w:sz w:val="18"/>
          <w:szCs w:val="18"/>
        </w:rPr>
        <w:t xml:space="preserve"> </w:t>
      </w:r>
      <w:r w:rsidR="0016496A" w:rsidRPr="0016496A">
        <w:rPr>
          <w:rFonts w:ascii="MinionPro" w:eastAsia="宋体" w:hAnsi="MinionPro" w:cs="宋体"/>
          <w:kern w:val="0"/>
          <w:sz w:val="18"/>
          <w:szCs w:val="18"/>
        </w:rPr>
        <w:t>et al</w:t>
      </w:r>
      <w:r w:rsidRPr="005101F8">
        <w:rPr>
          <w:rFonts w:ascii="MinionPro" w:eastAsia="宋体" w:hAnsi="MinionPro" w:cs="宋体"/>
          <w:kern w:val="0"/>
          <w:sz w:val="18"/>
          <w:szCs w:val="18"/>
        </w:rPr>
        <w:t xml:space="preserve"> (2014) Genotyping- by-sequencing (GBS), an ultimate marker-assisted selection (MAS) tool to accelerate plant breeding. </w:t>
      </w:r>
      <w:r w:rsidRPr="005101F8">
        <w:rPr>
          <w:rFonts w:ascii="MinionPro" w:eastAsia="宋体" w:hAnsi="MinionPro" w:cs="宋体"/>
          <w:iCs/>
          <w:kern w:val="0"/>
          <w:sz w:val="18"/>
          <w:szCs w:val="18"/>
        </w:rPr>
        <w:t>Front Plant Sci</w:t>
      </w:r>
      <w:r w:rsidRPr="005101F8">
        <w:rPr>
          <w:rFonts w:ascii="MinionPro" w:eastAsia="宋体" w:hAnsi="MinionPro" w:cs="宋体"/>
          <w:i/>
          <w:iCs/>
          <w:kern w:val="0"/>
          <w:sz w:val="18"/>
          <w:szCs w:val="18"/>
        </w:rPr>
        <w:t xml:space="preserve"> </w:t>
      </w:r>
      <w:r w:rsidRPr="005101F8">
        <w:rPr>
          <w:rFonts w:ascii="MinionPro" w:eastAsia="宋体" w:hAnsi="MinionPro" w:cs="宋体"/>
          <w:kern w:val="0"/>
          <w:sz w:val="18"/>
          <w:szCs w:val="18"/>
        </w:rPr>
        <w:t xml:space="preserve">5:484. </w:t>
      </w:r>
    </w:p>
    <w:p w:rsidR="005101F8" w:rsidRPr="0016496A" w:rsidRDefault="005101F8" w:rsidP="00ED7469">
      <w:pPr>
        <w:widowControl/>
        <w:spacing w:line="320" w:lineRule="exact"/>
        <w:ind w:left="-18"/>
        <w:jc w:val="left"/>
        <w:rPr>
          <w:rFonts w:ascii="MinionPro" w:eastAsia="宋体" w:hAnsi="MinionPro" w:cs="宋体"/>
          <w:kern w:val="0"/>
          <w:sz w:val="18"/>
          <w:szCs w:val="18"/>
        </w:rPr>
      </w:pPr>
      <w:r w:rsidRPr="005101F8">
        <w:rPr>
          <w:rFonts w:ascii="MinionPro" w:eastAsia="宋体" w:hAnsi="MinionPro" w:cs="宋体"/>
          <w:kern w:val="0"/>
          <w:sz w:val="18"/>
          <w:szCs w:val="18"/>
        </w:rPr>
        <w:t>Li ZK, Fu BY, Gao YM, X</w:t>
      </w:r>
      <w:r w:rsidR="0016496A" w:rsidRPr="0016496A">
        <w:rPr>
          <w:rFonts w:ascii="MinionPro" w:eastAsia="宋体" w:hAnsi="MinionPro" w:cs="宋体"/>
          <w:kern w:val="0"/>
          <w:sz w:val="18"/>
          <w:szCs w:val="18"/>
        </w:rPr>
        <w:t>,</w:t>
      </w:r>
      <w:r w:rsidRPr="005101F8">
        <w:rPr>
          <w:rFonts w:ascii="MinionPro" w:eastAsia="宋体" w:hAnsi="MinionPro" w:cs="宋体"/>
          <w:kern w:val="0"/>
          <w:sz w:val="18"/>
          <w:szCs w:val="18"/>
        </w:rPr>
        <w:t xml:space="preserve"> et al (2005)</w:t>
      </w:r>
      <w:r w:rsidR="0016496A" w:rsidRPr="0016496A">
        <w:rPr>
          <w:rFonts w:ascii="MinionPro" w:eastAsia="宋体" w:hAnsi="MinionPro" w:cs="宋体"/>
          <w:kern w:val="0"/>
          <w:sz w:val="18"/>
          <w:szCs w:val="18"/>
        </w:rPr>
        <w:t xml:space="preserve"> </w:t>
      </w:r>
      <w:r w:rsidRPr="005101F8">
        <w:rPr>
          <w:rFonts w:ascii="MinionPro" w:eastAsia="宋体" w:hAnsi="MinionPro" w:cs="宋体"/>
          <w:kern w:val="0"/>
          <w:sz w:val="18"/>
          <w:szCs w:val="18"/>
        </w:rPr>
        <w:t>Genome- wide introgression lines and their use in genetic and molecular dissection of complex phenotypes in rice (</w:t>
      </w:r>
      <w:r w:rsidRPr="005101F8">
        <w:rPr>
          <w:rFonts w:ascii="MinionPro" w:eastAsia="宋体" w:hAnsi="MinionPro" w:cs="宋体"/>
          <w:i/>
          <w:iCs/>
          <w:kern w:val="0"/>
          <w:sz w:val="18"/>
          <w:szCs w:val="18"/>
        </w:rPr>
        <w:t xml:space="preserve">Oryza sativa </w:t>
      </w:r>
      <w:r w:rsidRPr="005101F8">
        <w:rPr>
          <w:rFonts w:ascii="MinionPro" w:eastAsia="宋体" w:hAnsi="MinionPro" w:cs="宋体"/>
          <w:kern w:val="0"/>
          <w:sz w:val="18"/>
          <w:szCs w:val="18"/>
        </w:rPr>
        <w:t xml:space="preserve">L.). </w:t>
      </w:r>
      <w:r w:rsidRPr="005101F8">
        <w:rPr>
          <w:rFonts w:ascii="MinionPro" w:eastAsia="宋体" w:hAnsi="MinionPro" w:cs="宋体"/>
          <w:iCs/>
          <w:kern w:val="0"/>
          <w:sz w:val="18"/>
          <w:szCs w:val="18"/>
        </w:rPr>
        <w:t xml:space="preserve">Plant </w:t>
      </w:r>
      <w:proofErr w:type="spellStart"/>
      <w:r w:rsidRPr="005101F8">
        <w:rPr>
          <w:rFonts w:ascii="MinionPro" w:eastAsia="宋体" w:hAnsi="MinionPro" w:cs="宋体"/>
          <w:iCs/>
          <w:kern w:val="0"/>
          <w:sz w:val="18"/>
          <w:szCs w:val="18"/>
        </w:rPr>
        <w:t>Mol</w:t>
      </w:r>
      <w:proofErr w:type="spellEnd"/>
      <w:r w:rsidRPr="005101F8">
        <w:rPr>
          <w:rFonts w:ascii="MinionPro" w:eastAsia="宋体" w:hAnsi="MinionPro" w:cs="宋体"/>
          <w:iCs/>
          <w:kern w:val="0"/>
          <w:sz w:val="18"/>
          <w:szCs w:val="18"/>
        </w:rPr>
        <w:t xml:space="preserve"> </w:t>
      </w:r>
      <w:proofErr w:type="spellStart"/>
      <w:r w:rsidRPr="005101F8">
        <w:rPr>
          <w:rFonts w:ascii="MinionPro" w:eastAsia="宋体" w:hAnsi="MinionPro" w:cs="宋体"/>
          <w:iCs/>
          <w:kern w:val="0"/>
          <w:sz w:val="18"/>
          <w:szCs w:val="18"/>
        </w:rPr>
        <w:t>Biol</w:t>
      </w:r>
      <w:proofErr w:type="spellEnd"/>
      <w:r w:rsidRPr="005101F8">
        <w:rPr>
          <w:rFonts w:ascii="MinionPro" w:eastAsia="宋体" w:hAnsi="MinionPro" w:cs="宋体"/>
          <w:iCs/>
          <w:kern w:val="0"/>
          <w:sz w:val="18"/>
          <w:szCs w:val="18"/>
        </w:rPr>
        <w:t xml:space="preserve"> </w:t>
      </w:r>
      <w:r w:rsidRPr="005101F8">
        <w:rPr>
          <w:rFonts w:ascii="MinionPro" w:eastAsia="宋体" w:hAnsi="MinionPro" w:cs="宋体"/>
          <w:kern w:val="0"/>
          <w:sz w:val="18"/>
          <w:szCs w:val="18"/>
        </w:rPr>
        <w:t xml:space="preserve">59, 33–52. </w:t>
      </w:r>
    </w:p>
    <w:p w:rsidR="005101F8" w:rsidRPr="005101F8" w:rsidRDefault="005101F8" w:rsidP="00ED7469">
      <w:pPr>
        <w:widowControl/>
        <w:spacing w:line="320" w:lineRule="exact"/>
        <w:ind w:left="-18"/>
        <w:jc w:val="left"/>
        <w:rPr>
          <w:rFonts w:ascii="宋体" w:eastAsia="宋体" w:hAnsi="宋体" w:cs="宋体"/>
          <w:kern w:val="0"/>
          <w:sz w:val="18"/>
          <w:szCs w:val="18"/>
        </w:rPr>
      </w:pPr>
      <w:r w:rsidRPr="005101F8">
        <w:rPr>
          <w:rFonts w:ascii="MinionPro" w:eastAsia="宋体" w:hAnsi="MinionPro" w:cs="宋体"/>
          <w:kern w:val="0"/>
          <w:sz w:val="18"/>
          <w:szCs w:val="18"/>
        </w:rPr>
        <w:t>Wang Y, Zang</w:t>
      </w:r>
      <w:r w:rsidR="0016496A" w:rsidRPr="0016496A">
        <w:rPr>
          <w:rFonts w:ascii="MinionPro" w:eastAsia="宋体" w:hAnsi="MinionPro" w:cs="宋体"/>
          <w:kern w:val="0"/>
          <w:sz w:val="18"/>
          <w:szCs w:val="18"/>
        </w:rPr>
        <w:t xml:space="preserve"> </w:t>
      </w:r>
      <w:r w:rsidRPr="005101F8">
        <w:rPr>
          <w:rFonts w:ascii="MinionPro" w:eastAsia="宋体" w:hAnsi="MinionPro" w:cs="宋体"/>
          <w:kern w:val="0"/>
          <w:sz w:val="18"/>
          <w:szCs w:val="18"/>
        </w:rPr>
        <w:t>J, Sun</w:t>
      </w:r>
      <w:r w:rsidR="0016496A" w:rsidRPr="0016496A">
        <w:rPr>
          <w:rFonts w:ascii="MinionPro" w:eastAsia="宋体" w:hAnsi="MinionPro" w:cs="宋体"/>
          <w:kern w:val="0"/>
          <w:sz w:val="18"/>
          <w:szCs w:val="18"/>
        </w:rPr>
        <w:t xml:space="preserve"> </w:t>
      </w:r>
      <w:r w:rsidRPr="005101F8">
        <w:rPr>
          <w:rFonts w:ascii="MinionPro" w:eastAsia="宋体" w:hAnsi="MinionPro" w:cs="宋体"/>
          <w:kern w:val="0"/>
          <w:sz w:val="18"/>
          <w:szCs w:val="18"/>
        </w:rPr>
        <w:t xml:space="preserve">Y, </w:t>
      </w:r>
      <w:r w:rsidR="0016496A" w:rsidRPr="0016496A">
        <w:rPr>
          <w:rFonts w:ascii="MinionPro" w:eastAsia="宋体" w:hAnsi="MinionPro" w:cs="宋体"/>
          <w:kern w:val="0"/>
          <w:sz w:val="18"/>
          <w:szCs w:val="18"/>
        </w:rPr>
        <w:t>et al</w:t>
      </w:r>
      <w:r w:rsidRPr="005101F8">
        <w:rPr>
          <w:rFonts w:ascii="MinionPro" w:eastAsia="宋体" w:hAnsi="MinionPro" w:cs="宋体"/>
          <w:kern w:val="0"/>
          <w:sz w:val="18"/>
          <w:szCs w:val="18"/>
        </w:rPr>
        <w:t xml:space="preserve"> (2013a)</w:t>
      </w:r>
      <w:r w:rsidR="0016496A" w:rsidRPr="0016496A">
        <w:rPr>
          <w:rFonts w:ascii="MinionPro" w:eastAsia="宋体" w:hAnsi="MinionPro" w:cs="宋体"/>
          <w:kern w:val="0"/>
          <w:sz w:val="18"/>
          <w:szCs w:val="18"/>
        </w:rPr>
        <w:t xml:space="preserve"> </w:t>
      </w:r>
      <w:r w:rsidRPr="005101F8">
        <w:rPr>
          <w:rFonts w:ascii="MinionPro" w:eastAsia="宋体" w:hAnsi="MinionPro" w:cs="宋体"/>
          <w:kern w:val="0"/>
          <w:sz w:val="18"/>
          <w:szCs w:val="18"/>
        </w:rPr>
        <w:t xml:space="preserve">Background- independent quantitative trait loci for drought tolerance identified using advanced backcross introgression lines in rice. </w:t>
      </w:r>
      <w:r w:rsidRPr="005101F8">
        <w:rPr>
          <w:rFonts w:ascii="MinionPro" w:eastAsia="宋体" w:hAnsi="MinionPro" w:cs="宋体"/>
          <w:iCs/>
          <w:kern w:val="0"/>
          <w:sz w:val="18"/>
          <w:szCs w:val="18"/>
        </w:rPr>
        <w:t>Crop Sci</w:t>
      </w:r>
      <w:r w:rsidRPr="005101F8">
        <w:rPr>
          <w:rFonts w:ascii="MinionPro" w:eastAsia="宋体" w:hAnsi="MinionPro" w:cs="宋体"/>
          <w:kern w:val="0"/>
          <w:sz w:val="18"/>
          <w:szCs w:val="18"/>
        </w:rPr>
        <w:t xml:space="preserve"> 53, 430–441. </w:t>
      </w:r>
    </w:p>
    <w:p w:rsidR="00ED7469" w:rsidRDefault="00ED7469" w:rsidP="005101F8">
      <w:pPr>
        <w:widowControl/>
        <w:spacing w:before="100" w:beforeAutospacing="1" w:after="100" w:afterAutospacing="1"/>
        <w:jc w:val="left"/>
        <w:rPr>
          <w:rFonts w:ascii="宋体" w:eastAsia="宋体" w:hAnsi="宋体" w:cs="宋体" w:hint="eastAsia"/>
          <w:kern w:val="0"/>
        </w:rPr>
        <w:sectPr w:rsidR="00ED7469" w:rsidSect="00ED7469">
          <w:type w:val="continuous"/>
          <w:pgSz w:w="11900" w:h="16840"/>
          <w:pgMar w:top="1440" w:right="1184" w:bottom="1440" w:left="1224" w:header="851" w:footer="992" w:gutter="0"/>
          <w:cols w:num="2" w:space="425"/>
          <w:docGrid w:type="lines" w:linePitch="423"/>
        </w:sectPr>
      </w:pPr>
    </w:p>
    <w:p w:rsidR="00FF6FCF" w:rsidRDefault="003E22FB" w:rsidP="00E43926">
      <w:pPr>
        <w:widowControl/>
        <w:spacing w:line="320" w:lineRule="exact"/>
        <w:ind w:leftChars="-236" w:left="-566"/>
        <w:jc w:val="left"/>
        <w:rPr>
          <w:rFonts w:ascii="宋体" w:eastAsia="宋体" w:hAnsi="宋体" w:cs="宋体"/>
          <w:kern w:val="0"/>
          <w:u w:val="single"/>
        </w:rPr>
      </w:pPr>
      <w:r w:rsidRPr="003E22FB">
        <w:rPr>
          <w:rFonts w:ascii="宋体" w:eastAsia="宋体" w:hAnsi="宋体" w:cs="宋体"/>
          <w:kern w:val="0"/>
        </w:rPr>
        <w:drawing>
          <wp:anchor distT="0" distB="0" distL="114300" distR="114300" simplePos="0" relativeHeight="251658240" behindDoc="1" locked="0" layoutInCell="1" allowOverlap="1" wp14:anchorId="69D82190">
            <wp:simplePos x="0" y="0"/>
            <wp:positionH relativeFrom="column">
              <wp:posOffset>-376946</wp:posOffset>
            </wp:positionH>
            <wp:positionV relativeFrom="paragraph">
              <wp:posOffset>255319</wp:posOffset>
            </wp:positionV>
            <wp:extent cx="945662" cy="1307239"/>
            <wp:effectExtent l="0" t="0" r="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945662" cy="1307239"/>
                    </a:xfrm>
                    <a:prstGeom prst="rect">
                      <a:avLst/>
                    </a:prstGeom>
                  </pic:spPr>
                </pic:pic>
              </a:graphicData>
            </a:graphic>
            <wp14:sizeRelH relativeFrom="page">
              <wp14:pctWidth>0</wp14:pctWidth>
            </wp14:sizeRelH>
            <wp14:sizeRelV relativeFrom="page">
              <wp14:pctHeight>0</wp14:pctHeight>
            </wp14:sizeRelV>
          </wp:anchor>
        </w:drawing>
      </w:r>
      <w:r w:rsidR="00641452">
        <w:rPr>
          <w:rFonts w:ascii="宋体" w:eastAsia="宋体" w:hAnsi="宋体" w:cs="宋体" w:hint="eastAsia"/>
          <w:noProof/>
          <w:kern w:val="0"/>
          <w:u w:val="single"/>
        </w:rPr>
        <w:pict>
          <v:rect id="_x0000_i1025" alt="" style="width:415pt;height:.05pt;mso-width-percent:0;mso-height-percent:0;mso-width-percent:0;mso-height-percent:0" o:hralign="center" o:hrstd="t" o:hr="t" fillcolor="#a0a0a0" stroked="f"/>
        </w:pict>
      </w:r>
    </w:p>
    <w:p w:rsidR="0065450F" w:rsidRPr="003E22FB" w:rsidRDefault="00480A37" w:rsidP="003E22FB">
      <w:pPr>
        <w:widowControl/>
        <w:spacing w:line="320" w:lineRule="exact"/>
        <w:ind w:left="1136" w:hanging="2"/>
        <w:jc w:val="left"/>
        <w:rPr>
          <w:rFonts w:ascii="Times New Roman" w:eastAsia="宋体" w:hAnsi="Times New Roman" w:cs="Times New Roman" w:hint="eastAsia"/>
          <w:kern w:val="0"/>
          <w:sz w:val="21"/>
          <w:szCs w:val="21"/>
        </w:rPr>
      </w:pPr>
      <w:r w:rsidRPr="00480A37">
        <w:rPr>
          <w:rFonts w:ascii="Times New Roman" w:eastAsia="宋体" w:hAnsi="Times New Roman" w:cs="Times New Roman"/>
          <w:kern w:val="0"/>
          <w:sz w:val="21"/>
          <w:szCs w:val="21"/>
        </w:rPr>
        <w:t>I got</w:t>
      </w:r>
      <w:r>
        <w:rPr>
          <w:rFonts w:ascii="Times New Roman" w:eastAsia="宋体" w:hAnsi="Times New Roman" w:cs="Times New Roman"/>
          <w:kern w:val="0"/>
          <w:sz w:val="21"/>
          <w:szCs w:val="21"/>
        </w:rPr>
        <w:t xml:space="preserve"> PhD degree on Crop Genetics &amp; Breeding in 2001 in Zhejiang University, China. After finishing postdoctoral career of molecular rice breeding for two years at IRRI, I joined the Institute of Crop Sciences, Chinese Academy Agricultural Sciences, focusing on gene mapping and favorable allele mining for molecular rice breeding in high yield, high grain quality, abiotic and biotic stress tolerance. So far, I have published </w:t>
      </w:r>
      <w:r w:rsidR="003E22FB">
        <w:rPr>
          <w:rFonts w:ascii="Times New Roman" w:eastAsia="宋体" w:hAnsi="Times New Roman" w:cs="Times New Roman"/>
          <w:kern w:val="0"/>
          <w:sz w:val="21"/>
          <w:szCs w:val="21"/>
        </w:rPr>
        <w:t>7</w:t>
      </w:r>
      <w:r>
        <w:rPr>
          <w:rFonts w:ascii="Times New Roman" w:eastAsia="宋体" w:hAnsi="Times New Roman" w:cs="Times New Roman"/>
          <w:kern w:val="0"/>
          <w:sz w:val="21"/>
          <w:szCs w:val="21"/>
        </w:rPr>
        <w:t xml:space="preserve">0 papers in </w:t>
      </w:r>
      <w:r>
        <w:rPr>
          <w:rFonts w:ascii="Times New Roman" w:eastAsia="宋体" w:hAnsi="Times New Roman" w:cs="Times New Roman" w:hint="eastAsia"/>
          <w:kern w:val="0"/>
          <w:sz w:val="21"/>
          <w:szCs w:val="21"/>
        </w:rPr>
        <w:t>in</w:t>
      </w:r>
      <w:r>
        <w:rPr>
          <w:rFonts w:ascii="Times New Roman" w:eastAsia="宋体" w:hAnsi="Times New Roman" w:cs="Times New Roman"/>
          <w:kern w:val="0"/>
          <w:sz w:val="21"/>
          <w:szCs w:val="21"/>
        </w:rPr>
        <w:t xml:space="preserve">ternational journals, obtained four provincial awards and 13 patents. </w:t>
      </w:r>
      <w:bookmarkStart w:id="0" w:name="_GoBack"/>
      <w:bookmarkEnd w:id="0"/>
    </w:p>
    <w:sectPr w:rsidR="0065450F" w:rsidRPr="003E22FB" w:rsidSect="00ED7469">
      <w:type w:val="continuous"/>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ionPro">
    <w:altName w:val="Cambria"/>
    <w:panose1 w:val="020B0604020202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CF"/>
    <w:rsid w:val="00013361"/>
    <w:rsid w:val="000A42D8"/>
    <w:rsid w:val="0016496A"/>
    <w:rsid w:val="003B7BEF"/>
    <w:rsid w:val="003E22FB"/>
    <w:rsid w:val="00416631"/>
    <w:rsid w:val="00480A37"/>
    <w:rsid w:val="005101F8"/>
    <w:rsid w:val="005105DD"/>
    <w:rsid w:val="00641452"/>
    <w:rsid w:val="0065450F"/>
    <w:rsid w:val="007C4E32"/>
    <w:rsid w:val="00D12307"/>
    <w:rsid w:val="00E43926"/>
    <w:rsid w:val="00EB6F38"/>
    <w:rsid w:val="00ED7469"/>
    <w:rsid w:val="00F170E6"/>
    <w:rsid w:val="00FF6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673F"/>
  <w14:defaultImageDpi w14:val="32767"/>
  <w15:chartTrackingRefBased/>
  <w15:docId w15:val="{C102CB20-C9D3-674C-959F-0F93BDD32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05DD"/>
    <w:pPr>
      <w:widowControl/>
      <w:spacing w:before="100" w:beforeAutospacing="1" w:after="100" w:afterAutospacing="1"/>
      <w:jc w:val="left"/>
    </w:pPr>
    <w:rPr>
      <w:rFonts w:ascii="宋体" w:eastAsia="宋体" w:hAnsi="宋体" w:cs="宋体"/>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07117">
      <w:bodyDiv w:val="1"/>
      <w:marLeft w:val="0"/>
      <w:marRight w:val="0"/>
      <w:marTop w:val="0"/>
      <w:marBottom w:val="0"/>
      <w:divBdr>
        <w:top w:val="none" w:sz="0" w:space="0" w:color="auto"/>
        <w:left w:val="none" w:sz="0" w:space="0" w:color="auto"/>
        <w:bottom w:val="none" w:sz="0" w:space="0" w:color="auto"/>
        <w:right w:val="none" w:sz="0" w:space="0" w:color="auto"/>
      </w:divBdr>
      <w:divsChild>
        <w:div w:id="1890990048">
          <w:marLeft w:val="0"/>
          <w:marRight w:val="0"/>
          <w:marTop w:val="0"/>
          <w:marBottom w:val="0"/>
          <w:divBdr>
            <w:top w:val="none" w:sz="0" w:space="0" w:color="auto"/>
            <w:left w:val="none" w:sz="0" w:space="0" w:color="auto"/>
            <w:bottom w:val="none" w:sz="0" w:space="0" w:color="auto"/>
            <w:right w:val="none" w:sz="0" w:space="0" w:color="auto"/>
          </w:divBdr>
          <w:divsChild>
            <w:div w:id="1854684044">
              <w:marLeft w:val="0"/>
              <w:marRight w:val="0"/>
              <w:marTop w:val="0"/>
              <w:marBottom w:val="0"/>
              <w:divBdr>
                <w:top w:val="none" w:sz="0" w:space="0" w:color="auto"/>
                <w:left w:val="none" w:sz="0" w:space="0" w:color="auto"/>
                <w:bottom w:val="none" w:sz="0" w:space="0" w:color="auto"/>
                <w:right w:val="none" w:sz="0" w:space="0" w:color="auto"/>
              </w:divBdr>
              <w:divsChild>
                <w:div w:id="12810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146905">
      <w:bodyDiv w:val="1"/>
      <w:marLeft w:val="0"/>
      <w:marRight w:val="0"/>
      <w:marTop w:val="0"/>
      <w:marBottom w:val="0"/>
      <w:divBdr>
        <w:top w:val="none" w:sz="0" w:space="0" w:color="auto"/>
        <w:left w:val="none" w:sz="0" w:space="0" w:color="auto"/>
        <w:bottom w:val="none" w:sz="0" w:space="0" w:color="auto"/>
        <w:right w:val="none" w:sz="0" w:space="0" w:color="auto"/>
      </w:divBdr>
      <w:divsChild>
        <w:div w:id="803423474">
          <w:marLeft w:val="0"/>
          <w:marRight w:val="0"/>
          <w:marTop w:val="0"/>
          <w:marBottom w:val="0"/>
          <w:divBdr>
            <w:top w:val="none" w:sz="0" w:space="0" w:color="auto"/>
            <w:left w:val="none" w:sz="0" w:space="0" w:color="auto"/>
            <w:bottom w:val="none" w:sz="0" w:space="0" w:color="auto"/>
            <w:right w:val="none" w:sz="0" w:space="0" w:color="auto"/>
          </w:divBdr>
          <w:divsChild>
            <w:div w:id="22443534">
              <w:marLeft w:val="0"/>
              <w:marRight w:val="0"/>
              <w:marTop w:val="0"/>
              <w:marBottom w:val="0"/>
              <w:divBdr>
                <w:top w:val="none" w:sz="0" w:space="0" w:color="auto"/>
                <w:left w:val="none" w:sz="0" w:space="0" w:color="auto"/>
                <w:bottom w:val="none" w:sz="0" w:space="0" w:color="auto"/>
                <w:right w:val="none" w:sz="0" w:space="0" w:color="auto"/>
              </w:divBdr>
              <w:divsChild>
                <w:div w:id="19052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541584">
      <w:bodyDiv w:val="1"/>
      <w:marLeft w:val="0"/>
      <w:marRight w:val="0"/>
      <w:marTop w:val="0"/>
      <w:marBottom w:val="0"/>
      <w:divBdr>
        <w:top w:val="none" w:sz="0" w:space="0" w:color="auto"/>
        <w:left w:val="none" w:sz="0" w:space="0" w:color="auto"/>
        <w:bottom w:val="none" w:sz="0" w:space="0" w:color="auto"/>
        <w:right w:val="none" w:sz="0" w:space="0" w:color="auto"/>
      </w:divBdr>
      <w:divsChild>
        <w:div w:id="1751921482">
          <w:marLeft w:val="0"/>
          <w:marRight w:val="0"/>
          <w:marTop w:val="0"/>
          <w:marBottom w:val="0"/>
          <w:divBdr>
            <w:top w:val="none" w:sz="0" w:space="0" w:color="auto"/>
            <w:left w:val="none" w:sz="0" w:space="0" w:color="auto"/>
            <w:bottom w:val="none" w:sz="0" w:space="0" w:color="auto"/>
            <w:right w:val="none" w:sz="0" w:space="0" w:color="auto"/>
          </w:divBdr>
          <w:divsChild>
            <w:div w:id="1915044775">
              <w:marLeft w:val="0"/>
              <w:marRight w:val="0"/>
              <w:marTop w:val="0"/>
              <w:marBottom w:val="0"/>
              <w:divBdr>
                <w:top w:val="none" w:sz="0" w:space="0" w:color="auto"/>
                <w:left w:val="none" w:sz="0" w:space="0" w:color="auto"/>
                <w:bottom w:val="none" w:sz="0" w:space="0" w:color="auto"/>
                <w:right w:val="none" w:sz="0" w:space="0" w:color="auto"/>
              </w:divBdr>
              <w:divsChild>
                <w:div w:id="165945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12029">
      <w:bodyDiv w:val="1"/>
      <w:marLeft w:val="0"/>
      <w:marRight w:val="0"/>
      <w:marTop w:val="0"/>
      <w:marBottom w:val="0"/>
      <w:divBdr>
        <w:top w:val="none" w:sz="0" w:space="0" w:color="auto"/>
        <w:left w:val="none" w:sz="0" w:space="0" w:color="auto"/>
        <w:bottom w:val="none" w:sz="0" w:space="0" w:color="auto"/>
        <w:right w:val="none" w:sz="0" w:space="0" w:color="auto"/>
      </w:divBdr>
      <w:divsChild>
        <w:div w:id="1431049936">
          <w:marLeft w:val="0"/>
          <w:marRight w:val="0"/>
          <w:marTop w:val="0"/>
          <w:marBottom w:val="0"/>
          <w:divBdr>
            <w:top w:val="none" w:sz="0" w:space="0" w:color="auto"/>
            <w:left w:val="none" w:sz="0" w:space="0" w:color="auto"/>
            <w:bottom w:val="none" w:sz="0" w:space="0" w:color="auto"/>
            <w:right w:val="none" w:sz="0" w:space="0" w:color="auto"/>
          </w:divBdr>
          <w:divsChild>
            <w:div w:id="1673751445">
              <w:marLeft w:val="0"/>
              <w:marRight w:val="0"/>
              <w:marTop w:val="0"/>
              <w:marBottom w:val="0"/>
              <w:divBdr>
                <w:top w:val="none" w:sz="0" w:space="0" w:color="auto"/>
                <w:left w:val="none" w:sz="0" w:space="0" w:color="auto"/>
                <w:bottom w:val="none" w:sz="0" w:space="0" w:color="auto"/>
                <w:right w:val="none" w:sz="0" w:space="0" w:color="auto"/>
              </w:divBdr>
              <w:divsChild>
                <w:div w:id="146030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93291">
      <w:bodyDiv w:val="1"/>
      <w:marLeft w:val="0"/>
      <w:marRight w:val="0"/>
      <w:marTop w:val="0"/>
      <w:marBottom w:val="0"/>
      <w:divBdr>
        <w:top w:val="none" w:sz="0" w:space="0" w:color="auto"/>
        <w:left w:val="none" w:sz="0" w:space="0" w:color="auto"/>
        <w:bottom w:val="none" w:sz="0" w:space="0" w:color="auto"/>
        <w:right w:val="none" w:sz="0" w:space="0" w:color="auto"/>
      </w:divBdr>
      <w:divsChild>
        <w:div w:id="1471248838">
          <w:marLeft w:val="0"/>
          <w:marRight w:val="0"/>
          <w:marTop w:val="0"/>
          <w:marBottom w:val="0"/>
          <w:divBdr>
            <w:top w:val="none" w:sz="0" w:space="0" w:color="auto"/>
            <w:left w:val="none" w:sz="0" w:space="0" w:color="auto"/>
            <w:bottom w:val="none" w:sz="0" w:space="0" w:color="auto"/>
            <w:right w:val="none" w:sz="0" w:space="0" w:color="auto"/>
          </w:divBdr>
          <w:divsChild>
            <w:div w:id="271787550">
              <w:marLeft w:val="0"/>
              <w:marRight w:val="0"/>
              <w:marTop w:val="0"/>
              <w:marBottom w:val="0"/>
              <w:divBdr>
                <w:top w:val="none" w:sz="0" w:space="0" w:color="auto"/>
                <w:left w:val="none" w:sz="0" w:space="0" w:color="auto"/>
                <w:bottom w:val="none" w:sz="0" w:space="0" w:color="auto"/>
                <w:right w:val="none" w:sz="0" w:space="0" w:color="auto"/>
              </w:divBdr>
              <w:divsChild>
                <w:div w:id="6100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720909">
      <w:bodyDiv w:val="1"/>
      <w:marLeft w:val="0"/>
      <w:marRight w:val="0"/>
      <w:marTop w:val="0"/>
      <w:marBottom w:val="0"/>
      <w:divBdr>
        <w:top w:val="none" w:sz="0" w:space="0" w:color="auto"/>
        <w:left w:val="none" w:sz="0" w:space="0" w:color="auto"/>
        <w:bottom w:val="none" w:sz="0" w:space="0" w:color="auto"/>
        <w:right w:val="none" w:sz="0" w:space="0" w:color="auto"/>
      </w:divBdr>
      <w:divsChild>
        <w:div w:id="1141770701">
          <w:marLeft w:val="0"/>
          <w:marRight w:val="0"/>
          <w:marTop w:val="0"/>
          <w:marBottom w:val="0"/>
          <w:divBdr>
            <w:top w:val="none" w:sz="0" w:space="0" w:color="auto"/>
            <w:left w:val="none" w:sz="0" w:space="0" w:color="auto"/>
            <w:bottom w:val="none" w:sz="0" w:space="0" w:color="auto"/>
            <w:right w:val="none" w:sz="0" w:space="0" w:color="auto"/>
          </w:divBdr>
          <w:divsChild>
            <w:div w:id="233929712">
              <w:marLeft w:val="0"/>
              <w:marRight w:val="0"/>
              <w:marTop w:val="0"/>
              <w:marBottom w:val="0"/>
              <w:divBdr>
                <w:top w:val="none" w:sz="0" w:space="0" w:color="auto"/>
                <w:left w:val="none" w:sz="0" w:space="0" w:color="auto"/>
                <w:bottom w:val="none" w:sz="0" w:space="0" w:color="auto"/>
                <w:right w:val="none" w:sz="0" w:space="0" w:color="auto"/>
              </w:divBdr>
              <w:divsChild>
                <w:div w:id="76677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553</Words>
  <Characters>3156</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6</cp:revision>
  <dcterms:created xsi:type="dcterms:W3CDTF">2019-01-09T01:34:00Z</dcterms:created>
  <dcterms:modified xsi:type="dcterms:W3CDTF">2019-01-09T03:39:00Z</dcterms:modified>
</cp:coreProperties>
</file>