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D16" w:rsidRDefault="00A82D16" w:rsidP="00A82D16">
      <w:pPr>
        <w:autoSpaceDE w:val="0"/>
        <w:autoSpaceDN w:val="0"/>
        <w:adjustRightInd w:val="0"/>
        <w:spacing w:after="0"/>
        <w:jc w:val="both"/>
        <w:rPr>
          <w:rFonts w:asciiTheme="majorBidi" w:eastAsia="Calibri" w:hAnsiTheme="majorBidi" w:cstheme="majorBidi"/>
          <w:b/>
          <w:sz w:val="24"/>
          <w:szCs w:val="24"/>
        </w:rPr>
      </w:pPr>
      <w:r w:rsidRPr="00A82D16">
        <w:rPr>
          <w:rFonts w:asciiTheme="majorBidi" w:eastAsia="Calibri" w:hAnsiTheme="majorBidi" w:cstheme="majorBidi"/>
          <w:b/>
          <w:color w:val="0070C0"/>
          <w:sz w:val="24"/>
          <w:szCs w:val="24"/>
        </w:rPr>
        <w:t>Silencing of CYP450 gene through RNAi enhances the susceptibility and mortality in Red Palm Weevil (RPW) (</w:t>
      </w:r>
      <w:proofErr w:type="spellStart"/>
      <w:r w:rsidRPr="00A82D16">
        <w:rPr>
          <w:rFonts w:asciiTheme="majorBidi" w:eastAsia="Calibri" w:hAnsiTheme="majorBidi" w:cstheme="majorBidi"/>
          <w:b/>
          <w:i/>
          <w:iCs/>
          <w:color w:val="0070C0"/>
          <w:sz w:val="24"/>
          <w:szCs w:val="24"/>
        </w:rPr>
        <w:t>Rhynchophorus</w:t>
      </w:r>
      <w:proofErr w:type="spellEnd"/>
      <w:r w:rsidRPr="00A82D16">
        <w:rPr>
          <w:rFonts w:asciiTheme="majorBidi" w:eastAsia="Calibri" w:hAnsiTheme="majorBidi" w:cstheme="majorBidi"/>
          <w:b/>
          <w:i/>
          <w:iCs/>
          <w:color w:val="0070C0"/>
          <w:sz w:val="24"/>
          <w:szCs w:val="24"/>
        </w:rPr>
        <w:t xml:space="preserve"> </w:t>
      </w:r>
      <w:proofErr w:type="spellStart"/>
      <w:r w:rsidRPr="00A82D16">
        <w:rPr>
          <w:rFonts w:asciiTheme="majorBidi" w:eastAsia="Calibri" w:hAnsiTheme="majorBidi" w:cstheme="majorBidi"/>
          <w:b/>
          <w:i/>
          <w:iCs/>
          <w:color w:val="0070C0"/>
          <w:sz w:val="24"/>
          <w:szCs w:val="24"/>
        </w:rPr>
        <w:t>ferrugineus</w:t>
      </w:r>
      <w:proofErr w:type="spellEnd"/>
      <w:r w:rsidRPr="00A82D16">
        <w:rPr>
          <w:rFonts w:asciiTheme="majorBidi" w:eastAsia="Calibri" w:hAnsiTheme="majorBidi" w:cstheme="majorBidi"/>
          <w:b/>
          <w:color w:val="0070C0"/>
          <w:sz w:val="24"/>
          <w:szCs w:val="24"/>
        </w:rPr>
        <w:t>)</w:t>
      </w:r>
    </w:p>
    <w:p w:rsidR="00A82D16" w:rsidRDefault="00A82D16" w:rsidP="00A82D16">
      <w:pPr>
        <w:autoSpaceDE w:val="0"/>
        <w:autoSpaceDN w:val="0"/>
        <w:adjustRightInd w:val="0"/>
        <w:spacing w:after="0"/>
        <w:jc w:val="both"/>
        <w:rPr>
          <w:rFonts w:asciiTheme="majorBidi" w:eastAsia="Calibri" w:hAnsiTheme="majorBidi" w:cstheme="majorBidi"/>
          <w:sz w:val="24"/>
          <w:szCs w:val="24"/>
        </w:rPr>
      </w:pPr>
    </w:p>
    <w:p w:rsidR="00A82D16" w:rsidRDefault="00A82D16" w:rsidP="00A82D16">
      <w:pPr>
        <w:autoSpaceDE w:val="0"/>
        <w:autoSpaceDN w:val="0"/>
        <w:adjustRightInd w:val="0"/>
        <w:spacing w:after="0"/>
        <w:jc w:val="both"/>
        <w:rPr>
          <w:rFonts w:asciiTheme="majorBidi" w:eastAsia="Calibri" w:hAnsiTheme="majorBidi" w:cstheme="majorBidi"/>
          <w:sz w:val="24"/>
          <w:szCs w:val="24"/>
        </w:rPr>
      </w:pPr>
      <w:r w:rsidRPr="00A82D16">
        <w:rPr>
          <w:rFonts w:asciiTheme="majorBidi" w:eastAsia="Calibri" w:hAnsiTheme="majorBidi" w:cstheme="majorBidi"/>
          <w:sz w:val="24"/>
          <w:szCs w:val="24"/>
        </w:rPr>
        <w:t xml:space="preserve">Dr Mujahid </w:t>
      </w:r>
      <w:proofErr w:type="spellStart"/>
      <w:r w:rsidRPr="00A82D16">
        <w:rPr>
          <w:rFonts w:asciiTheme="majorBidi" w:eastAsia="Calibri" w:hAnsiTheme="majorBidi" w:cstheme="majorBidi"/>
          <w:sz w:val="24"/>
          <w:szCs w:val="24"/>
        </w:rPr>
        <w:t>Manzoor</w:t>
      </w:r>
      <w:proofErr w:type="spellEnd"/>
      <w:r w:rsidRPr="00A82D16">
        <w:rPr>
          <w:rFonts w:asciiTheme="majorBidi" w:eastAsia="Calibri" w:hAnsiTheme="majorBidi" w:cstheme="majorBidi"/>
          <w:sz w:val="24"/>
          <w:szCs w:val="24"/>
        </w:rPr>
        <w:t xml:space="preserve"> Ph.D. University of the Punjab, Lahore, Pakistan</w:t>
      </w:r>
    </w:p>
    <w:p w:rsidR="00A82D16" w:rsidRDefault="00A82D16" w:rsidP="00A82D16">
      <w:pPr>
        <w:autoSpaceDE w:val="0"/>
        <w:autoSpaceDN w:val="0"/>
        <w:adjustRightInd w:val="0"/>
        <w:spacing w:after="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Email: </w:t>
      </w:r>
      <w:hyperlink r:id="rId4" w:history="1">
        <w:r w:rsidRPr="00D72BE1">
          <w:rPr>
            <w:rStyle w:val="Hyperlink"/>
            <w:rFonts w:asciiTheme="majorBidi" w:eastAsia="Calibri" w:hAnsiTheme="majorBidi" w:cstheme="majorBidi"/>
            <w:sz w:val="24"/>
            <w:szCs w:val="24"/>
          </w:rPr>
          <w:t>mujahidmanzoor1700@gmail.com</w:t>
        </w:r>
      </w:hyperlink>
    </w:p>
    <w:p w:rsidR="00A82D16" w:rsidRPr="00A82D16" w:rsidRDefault="00A82D16" w:rsidP="00A82D16">
      <w:pPr>
        <w:autoSpaceDE w:val="0"/>
        <w:autoSpaceDN w:val="0"/>
        <w:adjustRightInd w:val="0"/>
        <w:spacing w:after="0"/>
        <w:jc w:val="both"/>
        <w:rPr>
          <w:rFonts w:asciiTheme="majorBidi" w:eastAsia="Calibri" w:hAnsiTheme="majorBidi" w:cstheme="majorBidi"/>
          <w:sz w:val="24"/>
          <w:szCs w:val="24"/>
        </w:rPr>
      </w:pPr>
      <w:r>
        <w:rPr>
          <w:rFonts w:asciiTheme="majorBidi" w:eastAsia="Calibri" w:hAnsiTheme="majorBidi" w:cstheme="majorBidi"/>
          <w:sz w:val="24"/>
          <w:szCs w:val="24"/>
        </w:rPr>
        <w:t>Tel: +92-333-8910335</w:t>
      </w:r>
    </w:p>
    <w:p w:rsidR="00A82D16" w:rsidRDefault="00A82D16" w:rsidP="00A82D16">
      <w:pPr>
        <w:autoSpaceDE w:val="0"/>
        <w:autoSpaceDN w:val="0"/>
        <w:adjustRightInd w:val="0"/>
        <w:spacing w:after="0"/>
        <w:jc w:val="both"/>
        <w:rPr>
          <w:rFonts w:asciiTheme="majorBidi" w:eastAsia="Calibri" w:hAnsiTheme="majorBidi" w:cstheme="majorBidi"/>
          <w:b/>
          <w:sz w:val="24"/>
          <w:szCs w:val="24"/>
        </w:rPr>
      </w:pPr>
    </w:p>
    <w:p w:rsidR="00A82D16" w:rsidRPr="0052196F" w:rsidRDefault="00A82D16" w:rsidP="00A82D16">
      <w:pPr>
        <w:autoSpaceDE w:val="0"/>
        <w:autoSpaceDN w:val="0"/>
        <w:adjustRightInd w:val="0"/>
        <w:spacing w:after="0"/>
        <w:jc w:val="both"/>
        <w:rPr>
          <w:rFonts w:asciiTheme="majorBidi" w:eastAsia="PalatinoLinotype-Roman" w:hAnsiTheme="majorBidi" w:cstheme="majorBidi"/>
          <w:sz w:val="24"/>
          <w:szCs w:val="24"/>
        </w:rPr>
      </w:pPr>
      <w:r w:rsidRPr="00A82D16">
        <w:rPr>
          <w:rFonts w:asciiTheme="majorBidi" w:eastAsia="Calibri" w:hAnsiTheme="majorBidi" w:cstheme="majorBidi"/>
          <w:b/>
          <w:color w:val="ED7D31" w:themeColor="accent2"/>
          <w:sz w:val="24"/>
          <w:szCs w:val="24"/>
        </w:rPr>
        <w:t>Abstract</w:t>
      </w:r>
      <w:r w:rsidRPr="00A82D16">
        <w:rPr>
          <w:rFonts w:asciiTheme="majorBidi" w:hAnsiTheme="majorBidi" w:cstheme="majorBidi"/>
          <w:b/>
          <w:color w:val="ED7D31" w:themeColor="accent2"/>
          <w:sz w:val="24"/>
          <w:szCs w:val="24"/>
        </w:rPr>
        <w:t>:</w:t>
      </w:r>
      <w:r w:rsidRPr="0052196F">
        <w:rPr>
          <w:rFonts w:asciiTheme="majorBidi" w:hAnsiTheme="majorBidi" w:cstheme="majorBidi"/>
          <w:b/>
          <w:sz w:val="24"/>
          <w:szCs w:val="24"/>
        </w:rPr>
        <w:t xml:space="preserve"> </w:t>
      </w:r>
      <w:r w:rsidRPr="0052196F">
        <w:rPr>
          <w:rFonts w:asciiTheme="majorBidi" w:eastAsia="PalatinoLinotype-Roman" w:hAnsiTheme="majorBidi" w:cstheme="majorBidi"/>
          <w:sz w:val="24"/>
          <w:szCs w:val="24"/>
        </w:rPr>
        <w:t>RNAi has emerged as</w:t>
      </w:r>
      <w:bookmarkStart w:id="0" w:name="_GoBack"/>
      <w:bookmarkEnd w:id="0"/>
      <w:r w:rsidRPr="0052196F">
        <w:rPr>
          <w:rFonts w:asciiTheme="majorBidi" w:eastAsia="PalatinoLinotype-Roman" w:hAnsiTheme="majorBidi" w:cstheme="majorBidi"/>
          <w:sz w:val="24"/>
          <w:szCs w:val="24"/>
        </w:rPr>
        <w:t xml:space="preserve"> a convenient and dominant genetic tool for insect pest management. Different goals in the field of entomology have been achieved by the RNAi techniques such as increased insect susceptibility, decreased insecticide resistance development, inhibiting insect growth and insect mortality. Cytochrome P450 genes in insects are involved in insecticide resistance. We have studied the level of insecticide resistance against </w:t>
      </w:r>
      <w:proofErr w:type="spellStart"/>
      <w:r w:rsidRPr="0052196F">
        <w:rPr>
          <w:rFonts w:asciiTheme="majorBidi" w:eastAsia="PalatinoLinotype-Roman" w:hAnsiTheme="majorBidi" w:cstheme="majorBidi"/>
          <w:sz w:val="24"/>
          <w:szCs w:val="24"/>
        </w:rPr>
        <w:t>cypermethrin</w:t>
      </w:r>
      <w:proofErr w:type="spellEnd"/>
      <w:r w:rsidRPr="0052196F">
        <w:rPr>
          <w:rFonts w:asciiTheme="majorBidi" w:eastAsia="PalatinoLinotype-Roman" w:hAnsiTheme="majorBidi" w:cstheme="majorBidi"/>
          <w:sz w:val="24"/>
          <w:szCs w:val="24"/>
        </w:rPr>
        <w:t xml:space="preserve"> caused by P450 genes in population of RPW collected from various regions of Pakistan. We have developed the dsRNA specific for P450 gene and studied its efficacy for the stimulation of Interference in red palm weevil (RPW) </w:t>
      </w:r>
      <w:r w:rsidRPr="0052196F">
        <w:rPr>
          <w:rFonts w:asciiTheme="majorBidi" w:eastAsia="PalatinoLinotype-Roman" w:hAnsiTheme="majorBidi" w:cstheme="majorBidi"/>
          <w:i/>
          <w:iCs/>
          <w:sz w:val="24"/>
          <w:szCs w:val="24"/>
        </w:rPr>
        <w:t xml:space="preserve">R. </w:t>
      </w:r>
      <w:proofErr w:type="spellStart"/>
      <w:r w:rsidRPr="0052196F">
        <w:rPr>
          <w:rFonts w:asciiTheme="majorBidi" w:eastAsia="PalatinoLinotype-Roman" w:hAnsiTheme="majorBidi" w:cstheme="majorBidi"/>
          <w:i/>
          <w:iCs/>
          <w:sz w:val="24"/>
          <w:szCs w:val="24"/>
        </w:rPr>
        <w:t>ferrugineus</w:t>
      </w:r>
      <w:proofErr w:type="spellEnd"/>
      <w:r w:rsidRPr="0052196F">
        <w:rPr>
          <w:rFonts w:asciiTheme="majorBidi" w:eastAsia="PalatinoLinotype-Roman" w:hAnsiTheme="majorBidi" w:cstheme="majorBidi"/>
          <w:sz w:val="24"/>
          <w:szCs w:val="24"/>
        </w:rPr>
        <w:t xml:space="preserve">. CYP450 gene was targeted through dsRNA in thoracic region of </w:t>
      </w:r>
      <w:r w:rsidRPr="0052196F">
        <w:rPr>
          <w:rFonts w:asciiTheme="majorBidi" w:eastAsia="PalatinoLinotype-Roman" w:hAnsiTheme="majorBidi" w:cstheme="majorBidi"/>
          <w:i/>
          <w:iCs/>
          <w:sz w:val="24"/>
          <w:szCs w:val="24"/>
        </w:rPr>
        <w:t xml:space="preserve">R. </w:t>
      </w:r>
      <w:proofErr w:type="spellStart"/>
      <w:r w:rsidRPr="0052196F">
        <w:rPr>
          <w:rFonts w:asciiTheme="majorBidi" w:eastAsia="PalatinoLinotype-Roman" w:hAnsiTheme="majorBidi" w:cstheme="majorBidi"/>
          <w:i/>
          <w:iCs/>
          <w:sz w:val="24"/>
          <w:szCs w:val="24"/>
        </w:rPr>
        <w:t>ferrugeninous</w:t>
      </w:r>
      <w:proofErr w:type="spellEnd"/>
      <w:r w:rsidRPr="0052196F">
        <w:rPr>
          <w:rFonts w:asciiTheme="majorBidi" w:eastAsia="PalatinoLinotype-Roman" w:hAnsiTheme="majorBidi" w:cstheme="majorBidi"/>
          <w:i/>
          <w:iCs/>
          <w:sz w:val="24"/>
          <w:szCs w:val="24"/>
        </w:rPr>
        <w:t>,</w:t>
      </w:r>
      <w:r w:rsidRPr="0052196F">
        <w:rPr>
          <w:rFonts w:asciiTheme="majorBidi" w:eastAsia="PalatinoLinotype-Roman" w:hAnsiTheme="majorBidi" w:cstheme="majorBidi"/>
          <w:sz w:val="24"/>
          <w:szCs w:val="24"/>
        </w:rPr>
        <w:t xml:space="preserve"> and studied the morphological changes, mortality and expression of CYP-450 gene through PCR and Western blotting. Gene expression study confirmed the down regulation of P450 gene and its silencing in RPW. A decreased indication of P450 cytochrome protein in the mature RPW applied with dsRNA was also analyzed by western blot analysis. The weevils (RPW) treated with double stranded RNA showed a reduction in insecticide resistance and oxidative activity. Mortality was high for adults treated with dsRNA as compared to those samples treated with water confirming that RNAi is induced in </w:t>
      </w:r>
      <w:r w:rsidRPr="0052196F">
        <w:rPr>
          <w:rFonts w:asciiTheme="majorBidi" w:eastAsia="PalatinoLinotype-Roman" w:hAnsiTheme="majorBidi" w:cstheme="majorBidi"/>
          <w:i/>
          <w:iCs/>
          <w:sz w:val="24"/>
          <w:szCs w:val="24"/>
        </w:rPr>
        <w:t xml:space="preserve">R. </w:t>
      </w:r>
      <w:proofErr w:type="spellStart"/>
      <w:r w:rsidRPr="0052196F">
        <w:rPr>
          <w:rFonts w:asciiTheme="majorBidi" w:eastAsia="PalatinoLinotype-Roman" w:hAnsiTheme="majorBidi" w:cstheme="majorBidi"/>
          <w:i/>
          <w:iCs/>
          <w:sz w:val="24"/>
          <w:szCs w:val="24"/>
        </w:rPr>
        <w:t>ferrugineus</w:t>
      </w:r>
      <w:proofErr w:type="spellEnd"/>
      <w:r w:rsidRPr="0052196F">
        <w:rPr>
          <w:rFonts w:asciiTheme="majorBidi" w:eastAsia="PalatinoLinotype-Roman" w:hAnsiTheme="majorBidi" w:cstheme="majorBidi"/>
          <w:sz w:val="24"/>
          <w:szCs w:val="24"/>
        </w:rPr>
        <w:t xml:space="preserve"> from the micro-injection. These results provide the plat forum for the broad range targeting of genes which ultimately broaden the scope of RNAi and pest management technology. Our data also supports the RNAi application as a suitable tool for the control of RPW and insecticide resistance management. </w:t>
      </w:r>
    </w:p>
    <w:p w:rsidR="000F73CA" w:rsidRDefault="000F73CA">
      <w:pPr>
        <w:rPr>
          <w:rFonts w:asciiTheme="majorBidi" w:hAnsiTheme="majorBidi" w:cstheme="majorBidi"/>
          <w:b/>
          <w:bCs/>
          <w:sz w:val="24"/>
          <w:szCs w:val="24"/>
        </w:rPr>
      </w:pPr>
    </w:p>
    <w:p w:rsidR="00A82D16" w:rsidRDefault="00A82D16"/>
    <w:sectPr w:rsidR="00A82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Linotype-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16"/>
    <w:rsid w:val="000F73CA"/>
    <w:rsid w:val="00A82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31FA15-B2F8-4865-B616-50DEE9914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D1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2D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jahidmanzoor17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Mujahid</dc:creator>
  <cp:keywords/>
  <dc:description/>
  <cp:lastModifiedBy>Dr Mujahid</cp:lastModifiedBy>
  <cp:revision>1</cp:revision>
  <dcterms:created xsi:type="dcterms:W3CDTF">2018-06-02T06:30:00Z</dcterms:created>
  <dcterms:modified xsi:type="dcterms:W3CDTF">2018-06-02T06:36:00Z</dcterms:modified>
</cp:coreProperties>
</file>