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831" w:rsidRDefault="00DF0831" w:rsidP="00DF0831">
      <w:pPr>
        <w:pStyle w:val="Heading1"/>
        <w:spacing w:before="170"/>
        <w:ind w:left="0"/>
      </w:pPr>
      <w:r w:rsidRPr="00336940">
        <w:rPr>
          <w:color w:val="337AB7"/>
        </w:rPr>
        <w:t xml:space="preserve">Identification of reference genes for real-time PCR gene expression studies in developing seedling of </w:t>
      </w:r>
      <w:proofErr w:type="spellStart"/>
      <w:r w:rsidRPr="00336940">
        <w:rPr>
          <w:i/>
          <w:color w:val="337AB7"/>
        </w:rPr>
        <w:t>Cyamopsis</w:t>
      </w:r>
      <w:proofErr w:type="spellEnd"/>
      <w:r w:rsidRPr="00336940">
        <w:rPr>
          <w:i/>
          <w:color w:val="337AB7"/>
        </w:rPr>
        <w:t xml:space="preserve"> </w:t>
      </w:r>
      <w:proofErr w:type="spellStart"/>
      <w:r w:rsidRPr="00336940">
        <w:rPr>
          <w:i/>
          <w:color w:val="337AB7"/>
        </w:rPr>
        <w:t>tetragonoloba</w:t>
      </w:r>
      <w:proofErr w:type="spellEnd"/>
      <w:r w:rsidRPr="00336940">
        <w:rPr>
          <w:color w:val="337AB7"/>
        </w:rPr>
        <w:t xml:space="preserve"> under nitrogen stress</w:t>
      </w:r>
    </w:p>
    <w:p w:rsidR="00DF0831" w:rsidRDefault="00DF0831" w:rsidP="00DF0831">
      <w:pPr>
        <w:pStyle w:val="BodyText"/>
        <w:spacing w:before="73" w:line="198" w:lineRule="exact"/>
        <w:ind w:left="100" w:right="5987"/>
        <w:rPr>
          <w:rFonts w:ascii="Arial"/>
        </w:rPr>
      </w:pPr>
    </w:p>
    <w:p w:rsidR="00DF0831" w:rsidRDefault="00DF0831" w:rsidP="00DF0831">
      <w:pPr>
        <w:pStyle w:val="BodyText"/>
        <w:spacing w:before="73" w:line="198" w:lineRule="exact"/>
        <w:ind w:left="100" w:right="5987"/>
        <w:rPr>
          <w:rFonts w:ascii="Arial"/>
        </w:rPr>
      </w:pPr>
      <w:r>
        <w:rPr>
          <w:rFonts w:ascii="Arial"/>
        </w:rPr>
        <w:t xml:space="preserve">Poonam S Jaiswal, M.Sc., </w:t>
      </w:r>
      <w:bookmarkStart w:id="0" w:name="_Hlk514187126"/>
      <w:r w:rsidRPr="00336940">
        <w:rPr>
          <w:rFonts w:ascii="Arial"/>
        </w:rPr>
        <w:t>Indian Institute of Technology</w:t>
      </w:r>
      <w:r>
        <w:rPr>
          <w:rFonts w:ascii="Arial"/>
        </w:rPr>
        <w:t xml:space="preserve"> </w:t>
      </w:r>
      <w:r w:rsidRPr="00336940">
        <w:rPr>
          <w:rFonts w:ascii="Arial"/>
        </w:rPr>
        <w:t>Roorkee, India</w:t>
      </w:r>
    </w:p>
    <w:bookmarkEnd w:id="0"/>
    <w:p w:rsidR="00DF0831" w:rsidRDefault="00DF0831" w:rsidP="00DF0831">
      <w:pPr>
        <w:pStyle w:val="BodyText"/>
        <w:spacing w:before="73" w:line="198" w:lineRule="exact"/>
        <w:ind w:left="100" w:right="5987"/>
        <w:rPr>
          <w:rFonts w:ascii="Arial"/>
        </w:rPr>
      </w:pPr>
      <w:r>
        <w:rPr>
          <w:rFonts w:ascii="Arial"/>
        </w:rPr>
        <w:t xml:space="preserve">Navneet Kaur, PhD, </w:t>
      </w:r>
      <w:r w:rsidRPr="00336940">
        <w:rPr>
          <w:rFonts w:ascii="Arial"/>
        </w:rPr>
        <w:t>Indian Institute of Technology Roorkee, India</w:t>
      </w:r>
    </w:p>
    <w:p w:rsidR="00DF0831" w:rsidRDefault="00DF0831" w:rsidP="00DF0831">
      <w:pPr>
        <w:pStyle w:val="BodyText"/>
        <w:spacing w:before="73" w:line="198" w:lineRule="exact"/>
        <w:ind w:left="100" w:right="5987"/>
        <w:rPr>
          <w:rFonts w:ascii="Arial"/>
        </w:rPr>
      </w:pPr>
      <w:proofErr w:type="spellStart"/>
      <w:r w:rsidRPr="00336940">
        <w:rPr>
          <w:rFonts w:ascii="Arial"/>
        </w:rPr>
        <w:t>Gursharn</w:t>
      </w:r>
      <w:proofErr w:type="spellEnd"/>
      <w:r w:rsidRPr="00336940">
        <w:rPr>
          <w:rFonts w:ascii="Arial"/>
        </w:rPr>
        <w:t xml:space="preserve"> Singh Randhawa</w:t>
      </w:r>
      <w:r>
        <w:rPr>
          <w:rFonts w:ascii="Arial"/>
        </w:rPr>
        <w:t xml:space="preserve">, PhD, </w:t>
      </w:r>
      <w:r w:rsidRPr="00FB13E1">
        <w:rPr>
          <w:rFonts w:ascii="Arial"/>
        </w:rPr>
        <w:t>Indian Institute of Technology Roorkee, India</w:t>
      </w:r>
    </w:p>
    <w:p w:rsidR="00DF0831" w:rsidRPr="00DF0831" w:rsidRDefault="00DF0831" w:rsidP="00DF0831">
      <w:pPr>
        <w:pStyle w:val="Heading3"/>
        <w:spacing w:before="147"/>
        <w:jc w:val="both"/>
        <w:rPr>
          <w:sz w:val="40"/>
        </w:rPr>
      </w:pPr>
      <w:r w:rsidRPr="00DF0831">
        <w:rPr>
          <w:color w:val="BF5A14"/>
          <w:sz w:val="40"/>
        </w:rPr>
        <w:t>Abstract</w:t>
      </w:r>
    </w:p>
    <w:p w:rsidR="00DF0831" w:rsidRPr="00DF0831" w:rsidRDefault="00DF0831" w:rsidP="00DF0831">
      <w:pPr>
        <w:pStyle w:val="Heading3"/>
        <w:spacing w:before="74"/>
        <w:jc w:val="both"/>
        <w:rPr>
          <w:rFonts w:ascii="Tw Cen MT" w:eastAsia="Tw Cen MT" w:hAnsi="Tw Cen MT" w:cs="Tw Cen MT"/>
          <w:color w:val="000000" w:themeColor="text1"/>
          <w:szCs w:val="18"/>
        </w:rPr>
      </w:pPr>
      <w:r w:rsidRPr="009F79AA">
        <w:rPr>
          <w:rFonts w:ascii="Tw Cen MT" w:eastAsia="Tw Cen MT" w:hAnsi="Tw Cen MT" w:cs="Tw Cen MT"/>
          <w:b/>
          <w:bCs/>
          <w:color w:val="000000" w:themeColor="text1"/>
          <w:szCs w:val="18"/>
        </w:rPr>
        <w:t>Statement of the problem</w:t>
      </w:r>
      <w:r w:rsidRPr="00DF0831">
        <w:rPr>
          <w:rFonts w:ascii="Tw Cen MT" w:eastAsia="Tw Cen MT" w:hAnsi="Tw Cen MT" w:cs="Tw Cen MT"/>
          <w:bCs/>
          <w:color w:val="000000" w:themeColor="text1"/>
          <w:szCs w:val="18"/>
        </w:rPr>
        <w:t xml:space="preserve">: </w:t>
      </w:r>
      <w:r w:rsidRPr="00DF0831">
        <w:rPr>
          <w:rFonts w:ascii="Tw Cen MT" w:eastAsia="Tw Cen MT" w:hAnsi="Tw Cen MT" w:cs="Tw Cen MT"/>
          <w:color w:val="000000" w:themeColor="text1"/>
          <w:szCs w:val="18"/>
        </w:rPr>
        <w:t>Guar (</w:t>
      </w:r>
      <w:proofErr w:type="spellStart"/>
      <w:r w:rsidRPr="00DF0831">
        <w:rPr>
          <w:rFonts w:ascii="Tw Cen MT" w:eastAsia="Tw Cen MT" w:hAnsi="Tw Cen MT" w:cs="Tw Cen MT"/>
          <w:i/>
          <w:color w:val="000000" w:themeColor="text1"/>
          <w:szCs w:val="18"/>
        </w:rPr>
        <w:t>Cyamopsis</w:t>
      </w:r>
      <w:proofErr w:type="spellEnd"/>
      <w:r w:rsidRPr="00DF0831">
        <w:rPr>
          <w:rFonts w:ascii="Tw Cen MT" w:eastAsia="Tw Cen MT" w:hAnsi="Tw Cen MT" w:cs="Tw Cen MT"/>
          <w:i/>
          <w:color w:val="000000" w:themeColor="text1"/>
          <w:szCs w:val="18"/>
        </w:rPr>
        <w:t xml:space="preserve"> </w:t>
      </w:r>
      <w:proofErr w:type="spellStart"/>
      <w:r w:rsidRPr="00DF0831">
        <w:rPr>
          <w:rFonts w:ascii="Tw Cen MT" w:eastAsia="Tw Cen MT" w:hAnsi="Tw Cen MT" w:cs="Tw Cen MT"/>
          <w:i/>
          <w:color w:val="000000" w:themeColor="text1"/>
          <w:szCs w:val="18"/>
        </w:rPr>
        <w:t>tetragonoloba</w:t>
      </w:r>
      <w:proofErr w:type="spellEnd"/>
      <w:r w:rsidRPr="00DF0831">
        <w:rPr>
          <w:rFonts w:ascii="Tw Cen MT" w:eastAsia="Tw Cen MT" w:hAnsi="Tw Cen MT" w:cs="Tw Cen MT"/>
          <w:color w:val="000000" w:themeColor="text1"/>
          <w:szCs w:val="18"/>
        </w:rPr>
        <w:t xml:space="preserve">) is an important industrial crop because of many industrial applications of galactomannan gum present in its seeds. It, being a legume crop, is able to </w:t>
      </w:r>
      <w:r w:rsidRPr="00DF0831">
        <w:rPr>
          <w:rFonts w:ascii="Tw Cen MT" w:eastAsia="Tw Cen MT" w:hAnsi="Tw Cen MT" w:cs="Tw Cen MT"/>
          <w:color w:val="000000" w:themeColor="text1"/>
          <w:szCs w:val="18"/>
        </w:rPr>
        <w:t>fulfil</w:t>
      </w:r>
      <w:r w:rsidRPr="00DF0831">
        <w:rPr>
          <w:rFonts w:ascii="Tw Cen MT" w:eastAsia="Tw Cen MT" w:hAnsi="Tw Cen MT" w:cs="Tw Cen MT"/>
          <w:color w:val="000000" w:themeColor="text1"/>
          <w:szCs w:val="18"/>
        </w:rPr>
        <w:t xml:space="preserve"> its nitrogen requirement through biological nitrogen fixation. However, this crop usually encounters nitrogen deficiency during the initial stages of crop growth when nitrogen fixing nodules have not been fully developed. The knowledge about genes of guar involved in various processes can help in developing improved varieties of this crop. </w:t>
      </w:r>
      <w:proofErr w:type="spellStart"/>
      <w:r w:rsidRPr="00DF0831">
        <w:rPr>
          <w:rFonts w:ascii="Tw Cen MT" w:eastAsia="Tw Cen MT" w:hAnsi="Tw Cen MT" w:cs="Tw Cen MT"/>
          <w:color w:val="000000" w:themeColor="text1"/>
          <w:szCs w:val="18"/>
        </w:rPr>
        <w:t>qRT</w:t>
      </w:r>
      <w:proofErr w:type="spellEnd"/>
      <w:r w:rsidRPr="00DF0831">
        <w:rPr>
          <w:rFonts w:ascii="Tw Cen MT" w:eastAsia="Tw Cen MT" w:hAnsi="Tw Cen MT" w:cs="Tw Cen MT"/>
          <w:color w:val="000000" w:themeColor="text1"/>
          <w:szCs w:val="18"/>
        </w:rPr>
        <w:t>-PCR is a preferred technique for</w:t>
      </w:r>
      <w:r w:rsidRPr="00DF0831">
        <w:rPr>
          <w:rFonts w:ascii="Tw Cen MT" w:eastAsia="Tw Cen MT" w:hAnsi="Tw Cen MT" w:cs="Tw Cen MT"/>
          <w:bCs/>
          <w:color w:val="000000" w:themeColor="text1"/>
          <w:szCs w:val="18"/>
        </w:rPr>
        <w:t xml:space="preserve"> </w:t>
      </w:r>
      <w:r w:rsidRPr="00DF0831">
        <w:rPr>
          <w:rFonts w:ascii="Tw Cen MT" w:eastAsia="Tw Cen MT" w:hAnsi="Tw Cen MT" w:cs="Tw Cen MT"/>
          <w:color w:val="000000" w:themeColor="text1"/>
          <w:szCs w:val="18"/>
        </w:rPr>
        <w:t xml:space="preserve">accurate quantification of gene expression data. This technique requires use of appropriate reference genes from the crop to be studied. </w:t>
      </w:r>
      <w:r w:rsidRPr="00DF0831">
        <w:rPr>
          <w:rFonts w:ascii="Tw Cen MT" w:eastAsia="Tw Cen MT" w:hAnsi="Tw Cen MT" w:cs="Tw Cen MT"/>
          <w:bCs/>
          <w:color w:val="000000" w:themeColor="text1"/>
          <w:szCs w:val="18"/>
        </w:rPr>
        <w:t>Such</w:t>
      </w:r>
      <w:r w:rsidRPr="00DF0831">
        <w:rPr>
          <w:rFonts w:ascii="Tw Cen MT" w:eastAsia="Tw Cen MT" w:hAnsi="Tw Cen MT" w:cs="Tw Cen MT"/>
          <w:color w:val="000000" w:themeColor="text1"/>
          <w:szCs w:val="18"/>
        </w:rPr>
        <w:t xml:space="preserve"> genes have not been yet identified in guar. </w:t>
      </w:r>
      <w:r w:rsidRPr="009F79AA">
        <w:rPr>
          <w:rFonts w:ascii="Tw Cen MT" w:eastAsia="Tw Cen MT" w:hAnsi="Tw Cen MT" w:cs="Tw Cen MT"/>
          <w:b/>
          <w:bCs/>
          <w:color w:val="000000" w:themeColor="text1"/>
          <w:szCs w:val="18"/>
        </w:rPr>
        <w:t>Methodology &amp; Theoretical Orientation</w:t>
      </w:r>
      <w:r w:rsidRPr="00DF0831">
        <w:rPr>
          <w:rFonts w:ascii="Tw Cen MT" w:eastAsia="Tw Cen MT" w:hAnsi="Tw Cen MT" w:cs="Tw Cen MT"/>
          <w:bCs/>
          <w:color w:val="000000" w:themeColor="text1"/>
          <w:szCs w:val="18"/>
        </w:rPr>
        <w:t xml:space="preserve">: </w:t>
      </w:r>
      <w:r w:rsidRPr="00DF0831">
        <w:rPr>
          <w:rFonts w:ascii="Tw Cen MT" w:eastAsia="Tw Cen MT" w:hAnsi="Tw Cen MT" w:cs="Tw Cen MT"/>
          <w:color w:val="000000" w:themeColor="text1"/>
          <w:szCs w:val="18"/>
        </w:rPr>
        <w:t>In the present study,</w:t>
      </w:r>
      <w:r w:rsidRPr="00DF0831">
        <w:rPr>
          <w:rFonts w:ascii="Tw Cen MT" w:eastAsia="Tw Cen MT" w:hAnsi="Tw Cen MT" w:cs="Tw Cen MT"/>
          <w:bCs/>
          <w:color w:val="000000" w:themeColor="text1"/>
          <w:szCs w:val="18"/>
        </w:rPr>
        <w:t xml:space="preserve"> </w:t>
      </w:r>
      <w:r w:rsidRPr="00DF0831">
        <w:rPr>
          <w:rFonts w:ascii="Tw Cen MT" w:eastAsia="Tw Cen MT" w:hAnsi="Tw Cen MT" w:cs="Tw Cen MT"/>
          <w:color w:val="000000" w:themeColor="text1"/>
          <w:szCs w:val="18"/>
        </w:rPr>
        <w:t>expression stabilities of</w:t>
      </w:r>
      <w:r w:rsidRPr="00DF0831">
        <w:rPr>
          <w:rFonts w:ascii="Tw Cen MT" w:eastAsia="Tw Cen MT" w:hAnsi="Tw Cen MT" w:cs="Tw Cen MT"/>
          <w:bCs/>
          <w:color w:val="000000" w:themeColor="text1"/>
          <w:szCs w:val="18"/>
        </w:rPr>
        <w:t xml:space="preserve"> </w:t>
      </w:r>
      <w:r w:rsidRPr="00DF0831">
        <w:rPr>
          <w:rFonts w:ascii="Tw Cen MT" w:eastAsia="Tw Cen MT" w:hAnsi="Tw Cen MT" w:cs="Tw Cen MT"/>
          <w:color w:val="000000" w:themeColor="text1"/>
          <w:szCs w:val="18"/>
        </w:rPr>
        <w:t xml:space="preserve">10 candidate reference genes, viz., </w:t>
      </w:r>
      <w:r w:rsidRPr="00DF0831">
        <w:rPr>
          <w:rFonts w:ascii="Tw Cen MT" w:eastAsia="Tw Cen MT" w:hAnsi="Tw Cen MT" w:cs="Tw Cen MT"/>
          <w:i/>
          <w:color w:val="000000" w:themeColor="text1"/>
          <w:szCs w:val="18"/>
        </w:rPr>
        <w:t>CYP, ACT 11, EF-1</w:t>
      </w:r>
      <w:r w:rsidRPr="00DF0831">
        <w:rPr>
          <w:rFonts w:ascii="Calibri" w:eastAsia="Tw Cen MT" w:hAnsi="Calibri" w:cs="Calibri"/>
          <w:i/>
          <w:color w:val="000000" w:themeColor="text1"/>
          <w:szCs w:val="18"/>
        </w:rPr>
        <w:t>α</w:t>
      </w:r>
      <w:r w:rsidRPr="00DF0831">
        <w:rPr>
          <w:rFonts w:ascii="Tw Cen MT" w:eastAsia="Tw Cen MT" w:hAnsi="Tw Cen MT" w:cs="Tw Cen MT"/>
          <w:i/>
          <w:color w:val="000000" w:themeColor="text1"/>
          <w:szCs w:val="18"/>
        </w:rPr>
        <w:t>, TUA, TUB, ACT 7, UBQ 10, UBC 2, GAPDH</w:t>
      </w:r>
      <w:r w:rsidRPr="00DF0831">
        <w:rPr>
          <w:rFonts w:ascii="Tw Cen MT" w:eastAsia="Tw Cen MT" w:hAnsi="Tw Cen MT" w:cs="Tw Cen MT"/>
          <w:color w:val="000000" w:themeColor="text1"/>
          <w:szCs w:val="18"/>
        </w:rPr>
        <w:t xml:space="preserve"> and </w:t>
      </w:r>
      <w:r w:rsidRPr="00DF0831">
        <w:rPr>
          <w:rFonts w:ascii="Tw Cen MT" w:eastAsia="Tw Cen MT" w:hAnsi="Tw Cen MT" w:cs="Tw Cen MT"/>
          <w:i/>
          <w:color w:val="000000" w:themeColor="text1"/>
          <w:szCs w:val="18"/>
        </w:rPr>
        <w:t>18S rRNA</w:t>
      </w:r>
      <w:r w:rsidRPr="00DF0831">
        <w:rPr>
          <w:rFonts w:ascii="Tw Cen MT" w:eastAsia="Tw Cen MT" w:hAnsi="Tw Cen MT" w:cs="Tw Cen MT"/>
          <w:color w:val="000000" w:themeColor="text1"/>
          <w:szCs w:val="18"/>
        </w:rPr>
        <w:t xml:space="preserve"> were evaluated in shoot and root tissues of guar (RGC-1066 variety) under nitrogen stress. Four different algorithms, </w:t>
      </w:r>
      <w:proofErr w:type="spellStart"/>
      <w:r w:rsidRPr="00DF0831">
        <w:rPr>
          <w:rFonts w:ascii="Tw Cen MT" w:eastAsia="Tw Cen MT" w:hAnsi="Tw Cen MT" w:cs="Tw Cen MT"/>
          <w:color w:val="000000" w:themeColor="text1"/>
          <w:szCs w:val="18"/>
        </w:rPr>
        <w:t>geNorm</w:t>
      </w:r>
      <w:proofErr w:type="spellEnd"/>
      <w:r w:rsidRPr="00DF0831">
        <w:rPr>
          <w:rFonts w:ascii="Tw Cen MT" w:eastAsia="Tw Cen MT" w:hAnsi="Tw Cen MT" w:cs="Tw Cen MT"/>
          <w:color w:val="000000" w:themeColor="text1"/>
          <w:szCs w:val="18"/>
        </w:rPr>
        <w:t xml:space="preserve">, </w:t>
      </w:r>
      <w:proofErr w:type="spellStart"/>
      <w:r w:rsidRPr="00DF0831">
        <w:rPr>
          <w:rFonts w:ascii="Tw Cen MT" w:eastAsia="Tw Cen MT" w:hAnsi="Tw Cen MT" w:cs="Tw Cen MT"/>
          <w:color w:val="000000" w:themeColor="text1"/>
          <w:szCs w:val="18"/>
        </w:rPr>
        <w:t>NormFinder</w:t>
      </w:r>
      <w:proofErr w:type="spellEnd"/>
      <w:r w:rsidRPr="00DF0831">
        <w:rPr>
          <w:rFonts w:ascii="Tw Cen MT" w:eastAsia="Tw Cen MT" w:hAnsi="Tw Cen MT" w:cs="Tw Cen MT"/>
          <w:color w:val="000000" w:themeColor="text1"/>
          <w:szCs w:val="18"/>
        </w:rPr>
        <w:t xml:space="preserve">, </w:t>
      </w:r>
      <w:proofErr w:type="spellStart"/>
      <w:r w:rsidRPr="00DF0831">
        <w:rPr>
          <w:rFonts w:ascii="Tw Cen MT" w:eastAsia="Tw Cen MT" w:hAnsi="Tw Cen MT" w:cs="Tw Cen MT"/>
          <w:color w:val="000000" w:themeColor="text1"/>
          <w:szCs w:val="18"/>
        </w:rPr>
        <w:t>BestKeeper</w:t>
      </w:r>
      <w:proofErr w:type="spellEnd"/>
      <w:r w:rsidRPr="00DF0831">
        <w:rPr>
          <w:rFonts w:ascii="Tw Cen MT" w:eastAsia="Tw Cen MT" w:hAnsi="Tw Cen MT" w:cs="Tw Cen MT"/>
          <w:color w:val="000000" w:themeColor="text1"/>
          <w:szCs w:val="18"/>
        </w:rPr>
        <w:t xml:space="preserve"> and ∆Ct approach were used to assess the expression stabilities of reference genes and the results obtained were integrated into comprehensive stability rankings. </w:t>
      </w:r>
      <w:r w:rsidRPr="009F79AA">
        <w:rPr>
          <w:rFonts w:ascii="Tw Cen MT" w:eastAsia="Tw Cen MT" w:hAnsi="Tw Cen MT" w:cs="Tw Cen MT"/>
          <w:b/>
          <w:bCs/>
          <w:color w:val="000000" w:themeColor="text1"/>
          <w:szCs w:val="18"/>
        </w:rPr>
        <w:t>Findings:</w:t>
      </w:r>
      <w:r w:rsidRPr="00DF0831">
        <w:rPr>
          <w:rFonts w:ascii="Tw Cen MT" w:eastAsia="Tw Cen MT" w:hAnsi="Tw Cen MT" w:cs="Tw Cen MT"/>
          <w:bCs/>
          <w:color w:val="000000" w:themeColor="text1"/>
          <w:szCs w:val="18"/>
        </w:rPr>
        <w:t xml:space="preserve"> </w:t>
      </w:r>
      <w:r w:rsidRPr="00DF0831">
        <w:rPr>
          <w:rFonts w:ascii="Tw Cen MT" w:eastAsia="Tw Cen MT" w:hAnsi="Tw Cen MT" w:cs="Tw Cen MT"/>
          <w:color w:val="000000" w:themeColor="text1"/>
          <w:szCs w:val="18"/>
        </w:rPr>
        <w:t xml:space="preserve">The study indicated that </w:t>
      </w:r>
      <w:r w:rsidRPr="00DF0831">
        <w:rPr>
          <w:rFonts w:ascii="Tw Cen MT" w:eastAsia="Tw Cen MT" w:hAnsi="Tw Cen MT" w:cs="Tw Cen MT"/>
          <w:i/>
          <w:color w:val="000000" w:themeColor="text1"/>
          <w:szCs w:val="18"/>
        </w:rPr>
        <w:t>CYP</w:t>
      </w:r>
      <w:r w:rsidRPr="00DF0831">
        <w:rPr>
          <w:rFonts w:ascii="Tw Cen MT" w:eastAsia="Tw Cen MT" w:hAnsi="Tw Cen MT" w:cs="Tw Cen MT"/>
          <w:bCs/>
          <w:color w:val="000000" w:themeColor="text1"/>
          <w:szCs w:val="18"/>
        </w:rPr>
        <w:t xml:space="preserve">, </w:t>
      </w:r>
      <w:r w:rsidRPr="00DF0831">
        <w:rPr>
          <w:rFonts w:ascii="Tw Cen MT" w:eastAsia="Tw Cen MT" w:hAnsi="Tw Cen MT" w:cs="Tw Cen MT"/>
          <w:i/>
          <w:color w:val="000000" w:themeColor="text1"/>
          <w:szCs w:val="18"/>
        </w:rPr>
        <w:t>TUA</w:t>
      </w:r>
      <w:r w:rsidRPr="00DF0831">
        <w:rPr>
          <w:rFonts w:ascii="Tw Cen MT" w:eastAsia="Tw Cen MT" w:hAnsi="Tw Cen MT" w:cs="Tw Cen MT"/>
          <w:color w:val="000000" w:themeColor="text1"/>
          <w:szCs w:val="18"/>
        </w:rPr>
        <w:t xml:space="preserve"> and </w:t>
      </w:r>
      <w:r w:rsidRPr="00DF0831">
        <w:rPr>
          <w:rFonts w:ascii="Tw Cen MT" w:eastAsia="Tw Cen MT" w:hAnsi="Tw Cen MT" w:cs="Tw Cen MT"/>
          <w:i/>
          <w:color w:val="000000" w:themeColor="text1"/>
          <w:szCs w:val="18"/>
        </w:rPr>
        <w:t>UBC 2</w:t>
      </w:r>
      <w:r w:rsidRPr="00DF0831">
        <w:rPr>
          <w:rFonts w:ascii="Tw Cen MT" w:eastAsia="Tw Cen MT" w:hAnsi="Tw Cen MT" w:cs="Tw Cen MT"/>
          <w:bCs/>
          <w:color w:val="000000" w:themeColor="text1"/>
          <w:szCs w:val="18"/>
        </w:rPr>
        <w:t xml:space="preserve"> </w:t>
      </w:r>
      <w:r w:rsidRPr="00DF0831">
        <w:rPr>
          <w:rFonts w:ascii="Tw Cen MT" w:eastAsia="Tw Cen MT" w:hAnsi="Tw Cen MT" w:cs="Tw Cen MT"/>
          <w:color w:val="000000" w:themeColor="text1"/>
          <w:szCs w:val="18"/>
        </w:rPr>
        <w:t xml:space="preserve">genes were the most </w:t>
      </w:r>
      <w:r w:rsidRPr="00DF0831">
        <w:rPr>
          <w:rFonts w:ascii="Tw Cen MT" w:eastAsia="Tw Cen MT" w:hAnsi="Tw Cen MT" w:cs="Tw Cen MT"/>
          <w:bCs/>
          <w:color w:val="000000" w:themeColor="text1"/>
          <w:szCs w:val="18"/>
        </w:rPr>
        <w:t xml:space="preserve">stable </w:t>
      </w:r>
      <w:r w:rsidRPr="00DF0831">
        <w:rPr>
          <w:rFonts w:ascii="Tw Cen MT" w:eastAsia="Tw Cen MT" w:hAnsi="Tw Cen MT" w:cs="Tw Cen MT"/>
          <w:color w:val="000000" w:themeColor="text1"/>
          <w:szCs w:val="18"/>
        </w:rPr>
        <w:t>reference genes in guar under nitrogen stress whereas EF-1</w:t>
      </w:r>
      <w:r w:rsidRPr="00DF0831">
        <w:rPr>
          <w:rFonts w:ascii="Calibri" w:eastAsia="Tw Cen MT" w:hAnsi="Calibri" w:cs="Calibri"/>
          <w:color w:val="000000" w:themeColor="text1"/>
          <w:szCs w:val="18"/>
        </w:rPr>
        <w:t>α</w:t>
      </w:r>
      <w:r w:rsidRPr="00DF0831">
        <w:rPr>
          <w:rFonts w:ascii="Tw Cen MT" w:eastAsia="Tw Cen MT" w:hAnsi="Tw Cen MT" w:cs="Tw Cen MT"/>
          <w:color w:val="000000" w:themeColor="text1"/>
          <w:szCs w:val="18"/>
        </w:rPr>
        <w:t xml:space="preserve"> gene was the most uns</w:t>
      </w:r>
      <w:r w:rsidRPr="00DF0831">
        <w:rPr>
          <w:rFonts w:ascii="Tw Cen MT" w:eastAsia="Tw Cen MT" w:hAnsi="Tw Cen MT" w:cs="Tw Cen MT"/>
          <w:bCs/>
          <w:color w:val="000000" w:themeColor="text1"/>
          <w:szCs w:val="18"/>
        </w:rPr>
        <w:t>table</w:t>
      </w:r>
      <w:r w:rsidRPr="00DF0831">
        <w:rPr>
          <w:rFonts w:ascii="Tw Cen MT" w:eastAsia="Tw Cen MT" w:hAnsi="Tw Cen MT" w:cs="Tw Cen MT"/>
          <w:color w:val="000000" w:themeColor="text1"/>
          <w:szCs w:val="18"/>
        </w:rPr>
        <w:t xml:space="preserve"> reference gene. </w:t>
      </w:r>
      <w:r w:rsidRPr="009F79AA">
        <w:rPr>
          <w:rFonts w:ascii="Tw Cen MT" w:eastAsia="Tw Cen MT" w:hAnsi="Tw Cen MT" w:cs="Tw Cen MT"/>
          <w:b/>
          <w:bCs/>
          <w:color w:val="000000" w:themeColor="text1"/>
          <w:szCs w:val="18"/>
        </w:rPr>
        <w:t>Conclusion &amp; Significance</w:t>
      </w:r>
      <w:r w:rsidRPr="00DF0831">
        <w:rPr>
          <w:rFonts w:ascii="Tw Cen MT" w:eastAsia="Tw Cen MT" w:hAnsi="Tw Cen MT" w:cs="Tw Cen MT"/>
          <w:bCs/>
          <w:color w:val="000000" w:themeColor="text1"/>
          <w:szCs w:val="18"/>
        </w:rPr>
        <w:t xml:space="preserve">: The </w:t>
      </w:r>
      <w:r w:rsidRPr="00DF0831">
        <w:rPr>
          <w:rFonts w:ascii="Tw Cen MT" w:eastAsia="Tw Cen MT" w:hAnsi="Tw Cen MT" w:cs="Tw Cen MT"/>
          <w:i/>
          <w:color w:val="000000" w:themeColor="text1"/>
          <w:szCs w:val="18"/>
        </w:rPr>
        <w:t>CYP</w:t>
      </w:r>
      <w:r w:rsidRPr="00DF0831">
        <w:rPr>
          <w:rFonts w:ascii="Tw Cen MT" w:eastAsia="Tw Cen MT" w:hAnsi="Tw Cen MT" w:cs="Tw Cen MT"/>
          <w:bCs/>
          <w:color w:val="000000" w:themeColor="text1"/>
          <w:szCs w:val="18"/>
        </w:rPr>
        <w:t xml:space="preserve">, </w:t>
      </w:r>
      <w:r w:rsidRPr="00DF0831">
        <w:rPr>
          <w:rFonts w:ascii="Tw Cen MT" w:eastAsia="Tw Cen MT" w:hAnsi="Tw Cen MT" w:cs="Tw Cen MT"/>
          <w:i/>
          <w:color w:val="000000" w:themeColor="text1"/>
          <w:szCs w:val="18"/>
        </w:rPr>
        <w:t>TUA</w:t>
      </w:r>
      <w:r w:rsidRPr="00DF0831">
        <w:rPr>
          <w:rFonts w:ascii="Tw Cen MT" w:eastAsia="Tw Cen MT" w:hAnsi="Tw Cen MT" w:cs="Tw Cen MT"/>
          <w:color w:val="000000" w:themeColor="text1"/>
          <w:szCs w:val="18"/>
        </w:rPr>
        <w:t xml:space="preserve"> and </w:t>
      </w:r>
      <w:r w:rsidRPr="00DF0831">
        <w:rPr>
          <w:rFonts w:ascii="Tw Cen MT" w:eastAsia="Tw Cen MT" w:hAnsi="Tw Cen MT" w:cs="Tw Cen MT"/>
          <w:i/>
          <w:color w:val="000000" w:themeColor="text1"/>
          <w:szCs w:val="18"/>
        </w:rPr>
        <w:t>UBC 2</w:t>
      </w:r>
      <w:r w:rsidRPr="00DF0831">
        <w:rPr>
          <w:rFonts w:ascii="Tw Cen MT" w:eastAsia="Tw Cen MT" w:hAnsi="Tw Cen MT" w:cs="Tw Cen MT"/>
          <w:bCs/>
          <w:color w:val="000000" w:themeColor="text1"/>
          <w:szCs w:val="18"/>
        </w:rPr>
        <w:t xml:space="preserve"> </w:t>
      </w:r>
      <w:r w:rsidRPr="00DF0831">
        <w:rPr>
          <w:rFonts w:ascii="Tw Cen MT" w:eastAsia="Tw Cen MT" w:hAnsi="Tw Cen MT" w:cs="Tw Cen MT"/>
          <w:color w:val="000000" w:themeColor="text1"/>
          <w:szCs w:val="18"/>
        </w:rPr>
        <w:t>genes were the most suitable reference genes for accurate normalization of the gene expression data under nitrogen stress</w:t>
      </w:r>
      <w:r w:rsidRPr="00DF0831">
        <w:rPr>
          <w:rFonts w:ascii="Tw Cen MT" w:eastAsia="Tw Cen MT" w:hAnsi="Tw Cen MT" w:cs="Tw Cen MT"/>
          <w:bCs/>
          <w:color w:val="000000" w:themeColor="text1"/>
          <w:szCs w:val="18"/>
        </w:rPr>
        <w:t>.</w:t>
      </w:r>
      <w:r w:rsidRPr="00DF0831">
        <w:rPr>
          <w:rFonts w:ascii="Tw Cen MT" w:eastAsia="Tw Cen MT" w:hAnsi="Tw Cen MT" w:cs="Tw Cen MT"/>
          <w:color w:val="000000" w:themeColor="text1"/>
          <w:szCs w:val="18"/>
        </w:rPr>
        <w:t xml:space="preserve"> Our findings are expected to provide a boost to gene expression studies in guar under nitrogen stress. Such studies are likely to improve our understanding of molecular mechanisms of </w:t>
      </w:r>
      <w:bookmarkStart w:id="1" w:name="_GoBack"/>
      <w:bookmarkEnd w:id="1"/>
      <w:r w:rsidRPr="00DF0831">
        <w:rPr>
          <w:rFonts w:ascii="Tw Cen MT" w:eastAsia="Tw Cen MT" w:hAnsi="Tw Cen MT" w:cs="Tw Cen MT"/>
          <w:color w:val="000000" w:themeColor="text1"/>
          <w:szCs w:val="18"/>
        </w:rPr>
        <w:t>nitrogen uptake in guar seedling and facilitate research initiatives to determine genes expressing under nitrogen stress in this industrially important crop.</w:t>
      </w:r>
    </w:p>
    <w:p w:rsidR="00DF0831" w:rsidRPr="00DF0831" w:rsidRDefault="00DF0831" w:rsidP="00DF0831">
      <w:r>
        <w:t xml:space="preserve">              </w:t>
      </w:r>
      <w:r>
        <w:rPr>
          <w:noProof/>
        </w:rPr>
        <w:drawing>
          <wp:inline distT="0" distB="0" distL="0" distR="0" wp14:anchorId="0A33D34A" wp14:editId="6D6CC265">
            <wp:extent cx="5781675" cy="3543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3648" t="29827" r="23180" b="21992"/>
                    <a:stretch/>
                  </pic:blipFill>
                  <pic:spPr bwMode="auto">
                    <a:xfrm>
                      <a:off x="0" y="0"/>
                      <a:ext cx="5781675" cy="3543300"/>
                    </a:xfrm>
                    <a:prstGeom prst="rect">
                      <a:avLst/>
                    </a:prstGeom>
                    <a:ln>
                      <a:noFill/>
                    </a:ln>
                    <a:extLst>
                      <a:ext uri="{53640926-AAD7-44D8-BBD7-CCE9431645EC}">
                        <a14:shadowObscured xmlns:a14="http://schemas.microsoft.com/office/drawing/2010/main"/>
                      </a:ext>
                    </a:extLst>
                  </pic:spPr>
                </pic:pic>
              </a:graphicData>
            </a:graphic>
          </wp:inline>
        </w:drawing>
      </w:r>
    </w:p>
    <w:p w:rsidR="00DF0831" w:rsidRDefault="00DF0831" w:rsidP="00DF0831">
      <w:pPr>
        <w:spacing w:line="204" w:lineRule="exact"/>
        <w:rPr>
          <w:rFonts w:ascii="Arial"/>
          <w:b/>
          <w:color w:val="BF5A14"/>
          <w:sz w:val="20"/>
        </w:rPr>
      </w:pPr>
    </w:p>
    <w:p w:rsidR="00DF0831" w:rsidRDefault="00DF0831" w:rsidP="00DF0831">
      <w:pPr>
        <w:spacing w:line="204" w:lineRule="exact"/>
        <w:rPr>
          <w:rFonts w:ascii="Arial"/>
          <w:b/>
          <w:color w:val="BF5A14"/>
          <w:sz w:val="20"/>
        </w:rPr>
      </w:pPr>
    </w:p>
    <w:p w:rsidR="00DF0831" w:rsidRPr="00DF0831" w:rsidRDefault="00DF0831" w:rsidP="00F26C8E">
      <w:pPr>
        <w:spacing w:line="240" w:lineRule="auto"/>
        <w:rPr>
          <w:rFonts w:ascii="Arial"/>
          <w:b/>
          <w:sz w:val="24"/>
        </w:rPr>
      </w:pPr>
      <w:r w:rsidRPr="00DF0831">
        <w:rPr>
          <w:rFonts w:ascii="Arial"/>
          <w:b/>
          <w:color w:val="BF5A14"/>
          <w:sz w:val="24"/>
        </w:rPr>
        <w:t xml:space="preserve">Recent Publications </w:t>
      </w:r>
    </w:p>
    <w:p w:rsidR="00F26C8E" w:rsidRDefault="00DF0831" w:rsidP="00F26C8E">
      <w:pPr>
        <w:pStyle w:val="ListParagraph"/>
        <w:numPr>
          <w:ilvl w:val="0"/>
          <w:numId w:val="1"/>
        </w:numPr>
        <w:tabs>
          <w:tab w:val="left" w:pos="384"/>
        </w:tabs>
        <w:spacing w:line="240" w:lineRule="auto"/>
        <w:ind w:right="138"/>
      </w:pPr>
      <w:r w:rsidRPr="00DF0831">
        <w:t xml:space="preserve">C. K. Singh, Sandeep R. Raj, V. R. Patil, </w:t>
      </w:r>
      <w:r w:rsidRPr="00DF0831">
        <w:rPr>
          <w:b/>
        </w:rPr>
        <w:t>P. S. Jaiswal</w:t>
      </w:r>
      <w:r w:rsidRPr="00DF0831">
        <w:t xml:space="preserve">, N. Subhash (2013). Plant regeneration from leaf explants of mature sandalwood trees under in vitro conditions. In Vitro </w:t>
      </w:r>
      <w:proofErr w:type="spellStart"/>
      <w:r w:rsidRPr="00DF0831">
        <w:t>Cell.Dev.Biol</w:t>
      </w:r>
      <w:proofErr w:type="spellEnd"/>
      <w:r w:rsidRPr="00DF0831">
        <w:t>.-Plant. 49(2).216-222. DOI 10.1007/s11627-013-9495-y.</w:t>
      </w:r>
    </w:p>
    <w:p w:rsidR="00DF0831" w:rsidRPr="00DF0831" w:rsidRDefault="00DF0831" w:rsidP="00F26C8E">
      <w:pPr>
        <w:pStyle w:val="ListParagraph"/>
        <w:numPr>
          <w:ilvl w:val="0"/>
          <w:numId w:val="1"/>
        </w:numPr>
        <w:tabs>
          <w:tab w:val="left" w:pos="384"/>
        </w:tabs>
        <w:spacing w:line="240" w:lineRule="auto"/>
        <w:ind w:right="138"/>
      </w:pPr>
      <w:r w:rsidRPr="00DF0831">
        <w:t xml:space="preserve">C. K. Singh, Sandeep R. Raj, </w:t>
      </w:r>
      <w:r w:rsidRPr="00F26C8E">
        <w:rPr>
          <w:b/>
        </w:rPr>
        <w:t>P. S. Jaiswal</w:t>
      </w:r>
      <w:r w:rsidRPr="00DF0831">
        <w:t xml:space="preserve">, V. R. Patil, B. S. </w:t>
      </w:r>
      <w:proofErr w:type="spellStart"/>
      <w:r w:rsidRPr="00DF0831">
        <w:t>Punwar</w:t>
      </w:r>
      <w:proofErr w:type="spellEnd"/>
      <w:r w:rsidRPr="00DF0831">
        <w:t xml:space="preserve">, J.C. </w:t>
      </w:r>
      <w:proofErr w:type="spellStart"/>
      <w:r w:rsidRPr="00DF0831">
        <w:t>Chavda</w:t>
      </w:r>
      <w:proofErr w:type="spellEnd"/>
      <w:r w:rsidRPr="00DF0831">
        <w:t>, N. Subhash (2015) Effect of plant growth regulators in in vitro plant regeneration of Sandalwood (Santalum album L.) via organogenesis. Agroforestry Systems. 90(2).281-288. DOI 10.1007/s10457-015-9853-3.</w:t>
      </w:r>
    </w:p>
    <w:p w:rsidR="00DF0831" w:rsidRPr="00DF0831" w:rsidRDefault="00DF0831" w:rsidP="00F26C8E">
      <w:pPr>
        <w:spacing w:line="240" w:lineRule="auto"/>
        <w:jc w:val="both"/>
        <w:rPr>
          <w:rFonts w:ascii="Calibri" w:hAnsi="Calibri"/>
          <w:sz w:val="28"/>
        </w:rPr>
      </w:pPr>
      <w:r w:rsidRPr="00DF0831">
        <w:rPr>
          <w:rFonts w:ascii="Calibri" w:hAnsi="Calibri"/>
          <w:sz w:val="28"/>
        </w:rPr>
        <w:t xml:space="preserve">   </w:t>
      </w:r>
    </w:p>
    <w:p w:rsidR="00DF0831" w:rsidRPr="00DF0831" w:rsidRDefault="00DF0831">
      <w:pPr>
        <w:rPr>
          <w:sz w:val="44"/>
        </w:rPr>
      </w:pPr>
      <w:r w:rsidRPr="00DF0831">
        <w:rPr>
          <w:rFonts w:ascii="Arial"/>
          <w:noProof/>
          <w:color w:val="BF5A14"/>
          <w:sz w:val="28"/>
        </w:rPr>
        <w:drawing>
          <wp:inline distT="0" distB="0" distL="0" distR="0" wp14:anchorId="7418F9D3" wp14:editId="7D3503AB">
            <wp:extent cx="776087" cy="75247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onam.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82724" cy="758910"/>
                    </a:xfrm>
                    <a:prstGeom prst="rect">
                      <a:avLst/>
                    </a:prstGeom>
                  </pic:spPr>
                </pic:pic>
              </a:graphicData>
            </a:graphic>
          </wp:inline>
        </w:drawing>
      </w:r>
    </w:p>
    <w:p w:rsidR="00DF0831" w:rsidRPr="00DF0831" w:rsidRDefault="00DF0831" w:rsidP="00DF0831">
      <w:pPr>
        <w:spacing w:before="92"/>
        <w:ind w:right="4234"/>
        <w:rPr>
          <w:rFonts w:ascii="Arial"/>
          <w:sz w:val="28"/>
        </w:rPr>
      </w:pPr>
      <w:r w:rsidRPr="00DF0831">
        <w:rPr>
          <w:rFonts w:ascii="Arial"/>
          <w:color w:val="BF5A14"/>
          <w:sz w:val="28"/>
        </w:rPr>
        <w:t xml:space="preserve">Biography </w:t>
      </w:r>
    </w:p>
    <w:p w:rsidR="00DF0831" w:rsidRPr="00DF0831" w:rsidRDefault="00DF0831" w:rsidP="00F26C8E">
      <w:pPr>
        <w:widowControl w:val="0"/>
        <w:spacing w:before="41" w:after="0" w:line="240" w:lineRule="auto"/>
        <w:ind w:left="213" w:right="231"/>
        <w:jc w:val="both"/>
        <w:rPr>
          <w:rFonts w:ascii="Arial"/>
          <w:sz w:val="16"/>
        </w:rPr>
      </w:pPr>
      <w:r w:rsidRPr="00DF0831">
        <w:rPr>
          <w:rFonts w:ascii="Arial"/>
          <w:sz w:val="16"/>
        </w:rPr>
        <w:t xml:space="preserve">Poonam S. Jaiswal has completed her M.Sc. in Agricultural Biotechnology from Anand Agricultural University (Anand, India) through Indian council of Agricultural Research. Currently, she is pursuing her Ph.D. in Plant Biotechnology from Indian Institute of Technology-Roorkee (Roorkee, India). She is working on genomics and proteomics related research in </w:t>
      </w:r>
      <w:proofErr w:type="spellStart"/>
      <w:r w:rsidRPr="00DF0831">
        <w:rPr>
          <w:rFonts w:ascii="Arial"/>
          <w:i/>
          <w:sz w:val="16"/>
        </w:rPr>
        <w:t>Cyamopsis</w:t>
      </w:r>
      <w:proofErr w:type="spellEnd"/>
      <w:r w:rsidRPr="00DF0831">
        <w:rPr>
          <w:rFonts w:ascii="Arial"/>
          <w:i/>
          <w:sz w:val="16"/>
        </w:rPr>
        <w:t xml:space="preserve"> </w:t>
      </w:r>
      <w:proofErr w:type="spellStart"/>
      <w:r w:rsidRPr="00DF0831">
        <w:rPr>
          <w:rFonts w:ascii="Arial"/>
          <w:i/>
          <w:sz w:val="16"/>
        </w:rPr>
        <w:t>tetragonoloba</w:t>
      </w:r>
      <w:proofErr w:type="spellEnd"/>
      <w:r w:rsidRPr="00DF0831">
        <w:rPr>
          <w:rFonts w:ascii="Arial"/>
          <w:sz w:val="16"/>
        </w:rPr>
        <w:t xml:space="preserve">. She has wide experimental skills on molecular biology techniques like microarray, bioanalyzer, Real-Time PCR, plant tissue culture techniques, plant physiological studies related tools and techniques. </w:t>
      </w:r>
    </w:p>
    <w:p w:rsidR="00DF0831" w:rsidRPr="00DF0831" w:rsidRDefault="00DF0831" w:rsidP="00DF0831">
      <w:pPr>
        <w:spacing w:before="41" w:line="154" w:lineRule="exact"/>
        <w:ind w:left="213" w:right="231"/>
        <w:jc w:val="both"/>
        <w:rPr>
          <w:rFonts w:ascii="Arial"/>
          <w:sz w:val="18"/>
        </w:rPr>
      </w:pPr>
      <w:r w:rsidRPr="00DF0831">
        <w:rPr>
          <w:rFonts w:ascii="Arial"/>
          <w:sz w:val="18"/>
        </w:rPr>
        <w:t>.</w:t>
      </w:r>
    </w:p>
    <w:p w:rsidR="00DF0831" w:rsidRPr="00DF0831" w:rsidRDefault="00DF0831" w:rsidP="00DF0831">
      <w:pPr>
        <w:spacing w:before="62"/>
        <w:ind w:right="2752"/>
        <w:jc w:val="center"/>
        <w:rPr>
          <w:rFonts w:ascii="Arial"/>
          <w:sz w:val="18"/>
        </w:rPr>
      </w:pPr>
      <w:r w:rsidRPr="00DF0831">
        <w:rPr>
          <w:rFonts w:ascii="Arial"/>
          <w:sz w:val="18"/>
        </w:rPr>
        <w:t xml:space="preserve">                          Email: </w:t>
      </w:r>
      <w:hyperlink r:id="rId7" w:history="1">
        <w:r w:rsidRPr="00DF0831">
          <w:rPr>
            <w:rStyle w:val="Hyperlink"/>
            <w:rFonts w:ascii="Arial"/>
            <w:sz w:val="18"/>
          </w:rPr>
          <w:t>poonamjaiswal2609@gmail.com</w:t>
        </w:r>
      </w:hyperlink>
      <w:r w:rsidRPr="00DF0831">
        <w:rPr>
          <w:rStyle w:val="Hyperlink"/>
          <w:rFonts w:ascii="Arial"/>
          <w:sz w:val="18"/>
          <w:u w:val="none"/>
        </w:rPr>
        <w:t xml:space="preserve">     Contact No: 8791596176</w:t>
      </w:r>
    </w:p>
    <w:p w:rsidR="00DF0831" w:rsidRPr="00DF0831" w:rsidRDefault="00DF0831" w:rsidP="00DF0831">
      <w:pPr>
        <w:pStyle w:val="BodyText"/>
        <w:spacing w:before="2"/>
        <w:rPr>
          <w:rFonts w:ascii="Arial"/>
          <w:sz w:val="22"/>
        </w:rPr>
      </w:pPr>
      <w:r w:rsidRPr="00DF0831">
        <w:rPr>
          <w:noProof/>
          <w:sz w:val="22"/>
          <w:lang w:val="en-IN" w:eastAsia="en-IN"/>
        </w:rPr>
        <mc:AlternateContent>
          <mc:Choice Requires="wps">
            <w:drawing>
              <wp:anchor distT="0" distB="0" distL="0" distR="0" simplePos="0" relativeHeight="251659264" behindDoc="0" locked="0" layoutInCell="1" allowOverlap="1" wp14:anchorId="3613D4AA" wp14:editId="31D25D3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9C990"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DF0831" w:rsidRDefault="00DF0831" w:rsidP="00DF0831">
      <w:pPr>
        <w:pStyle w:val="BodyText"/>
        <w:rPr>
          <w:rFonts w:ascii="Arial"/>
          <w:sz w:val="20"/>
        </w:rPr>
      </w:pPr>
    </w:p>
    <w:p w:rsidR="00DF0831" w:rsidRDefault="00DF0831" w:rsidP="00DF0831">
      <w:pPr>
        <w:pStyle w:val="BodyText"/>
        <w:rPr>
          <w:rFonts w:ascii="Arial"/>
          <w:sz w:val="20"/>
        </w:rPr>
      </w:pPr>
    </w:p>
    <w:p w:rsidR="00DF0831" w:rsidRDefault="00DF0831" w:rsidP="00DF0831">
      <w:pPr>
        <w:pStyle w:val="BodyText"/>
        <w:spacing w:before="7"/>
        <w:rPr>
          <w:rFonts w:ascii="Arial"/>
          <w:sz w:val="29"/>
        </w:rPr>
      </w:pPr>
    </w:p>
    <w:p w:rsidR="00DF0831" w:rsidRPr="00B21A57" w:rsidRDefault="00DF0831" w:rsidP="00DF0831">
      <w:pPr>
        <w:spacing w:before="39"/>
        <w:ind w:left="100"/>
        <w:rPr>
          <w:rFonts w:ascii="Minion Pro"/>
          <w:b/>
          <w:sz w:val="20"/>
        </w:rPr>
      </w:pPr>
      <w:r w:rsidRPr="00B21A57">
        <w:rPr>
          <w:rFonts w:ascii="Minion Pro"/>
          <w:b/>
          <w:sz w:val="20"/>
        </w:rPr>
        <w:t>Notes/Comments:</w:t>
      </w:r>
    </w:p>
    <w:p w:rsidR="00DF0831" w:rsidRPr="00DF0831" w:rsidRDefault="00DF0831">
      <w:pPr>
        <w:rPr>
          <w:sz w:val="36"/>
        </w:rPr>
      </w:pPr>
    </w:p>
    <w:sectPr w:rsidR="00DF0831" w:rsidRPr="00DF0831" w:rsidSect="00DF083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w Cen MT">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831"/>
    <w:rsid w:val="009F79AA"/>
    <w:rsid w:val="00DF0831"/>
    <w:rsid w:val="00F26C8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35CA"/>
  <w15:chartTrackingRefBased/>
  <w15:docId w15:val="{6841594A-4B51-40DB-ADC2-29415E40D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DF0831"/>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DF083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F0831"/>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DF0831"/>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DF0831"/>
    <w:rPr>
      <w:rFonts w:ascii="Tw Cen MT" w:eastAsia="Tw Cen MT" w:hAnsi="Tw Cen MT" w:cs="Tw Cen MT"/>
      <w:sz w:val="18"/>
      <w:szCs w:val="18"/>
      <w:lang w:val="en-US"/>
    </w:rPr>
  </w:style>
  <w:style w:type="character" w:customStyle="1" w:styleId="Heading3Char">
    <w:name w:val="Heading 3 Char"/>
    <w:basedOn w:val="DefaultParagraphFont"/>
    <w:link w:val="Heading3"/>
    <w:uiPriority w:val="9"/>
    <w:rsid w:val="00DF0831"/>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1"/>
    <w:qFormat/>
    <w:rsid w:val="00DF0831"/>
    <w:pPr>
      <w:widowControl w:val="0"/>
      <w:spacing w:before="90" w:after="0" w:line="200" w:lineRule="exact"/>
      <w:ind w:left="383" w:hanging="283"/>
      <w:jc w:val="both"/>
    </w:pPr>
    <w:rPr>
      <w:rFonts w:ascii="Calibri" w:eastAsia="Calibri" w:hAnsi="Calibri" w:cs="Calibri"/>
      <w:lang w:val="en-US"/>
    </w:rPr>
  </w:style>
  <w:style w:type="character" w:styleId="Hyperlink">
    <w:name w:val="Hyperlink"/>
    <w:basedOn w:val="DefaultParagraphFont"/>
    <w:uiPriority w:val="99"/>
    <w:unhideWhenUsed/>
    <w:rsid w:val="00DF08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oonamjaiswal260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550</Words>
  <Characters>3138</Characters>
  <Application>Microsoft Office Word</Application>
  <DocSecurity>0</DocSecurity>
  <Lines>26</Lines>
  <Paragraphs>7</Paragraphs>
  <ScaleCrop>false</ScaleCrop>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Jaiswal</dc:creator>
  <cp:keywords/>
  <dc:description/>
  <cp:lastModifiedBy>Poonam Jaiswal</cp:lastModifiedBy>
  <cp:revision>3</cp:revision>
  <dcterms:created xsi:type="dcterms:W3CDTF">2018-05-16T06:41:00Z</dcterms:created>
  <dcterms:modified xsi:type="dcterms:W3CDTF">2018-05-16T06:59:00Z</dcterms:modified>
</cp:coreProperties>
</file>