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EC1" w:rsidRPr="00A736E7" w:rsidRDefault="00EA6EC1" w:rsidP="00EA6EC1">
      <w:pPr>
        <w:shd w:val="clear" w:color="auto" w:fill="FFFFFF"/>
        <w:spacing w:before="312" w:after="177" w:line="288" w:lineRule="atLeast"/>
        <w:outlineLvl w:val="0"/>
        <w:rPr>
          <w:rFonts w:ascii="Georgia" w:eastAsia="Times New Roman" w:hAnsi="Georgia" w:cs="Times New Roman"/>
          <w:color w:val="25302B"/>
          <w:kern w:val="36"/>
          <w:sz w:val="29"/>
          <w:szCs w:val="29"/>
        </w:rPr>
      </w:pPr>
      <w:r w:rsidRPr="00A736E7">
        <w:rPr>
          <w:rFonts w:ascii="Georgia" w:eastAsia="Times New Roman" w:hAnsi="Georgia" w:cs="Times New Roman"/>
          <w:color w:val="25302B"/>
          <w:kern w:val="36"/>
          <w:sz w:val="29"/>
          <w:szCs w:val="29"/>
        </w:rPr>
        <w:t>Screening of Mungbean (</w:t>
      </w:r>
      <w:r w:rsidRPr="00A736E7">
        <w:rPr>
          <w:rFonts w:ascii="Georgia" w:eastAsia="Times New Roman" w:hAnsi="Georgia" w:cs="Times New Roman"/>
          <w:i/>
          <w:iCs/>
          <w:color w:val="25302B"/>
          <w:kern w:val="36"/>
          <w:sz w:val="29"/>
          <w:szCs w:val="29"/>
        </w:rPr>
        <w:t>Vigna radiata</w:t>
      </w:r>
      <w:r w:rsidRPr="00A736E7">
        <w:rPr>
          <w:rFonts w:ascii="Georgia" w:eastAsia="Times New Roman" w:hAnsi="Georgia" w:cs="Times New Roman"/>
          <w:color w:val="25302B"/>
          <w:kern w:val="36"/>
          <w:sz w:val="29"/>
          <w:szCs w:val="29"/>
        </w:rPr>
        <w:t>) Genotypes for Nutrient Stress Tolerance</w:t>
      </w:r>
    </w:p>
    <w:p w:rsidR="00EA6EC1" w:rsidRPr="00A736E7" w:rsidRDefault="00EA6EC1" w:rsidP="00EA6EC1">
      <w:pPr>
        <w:shd w:val="clear" w:color="auto" w:fill="FFFFFF"/>
        <w:rPr>
          <w:rFonts w:ascii="Verdana" w:eastAsia="Times New Roman" w:hAnsi="Verdana" w:cs="Times New Roman"/>
          <w:color w:val="111111"/>
          <w:sz w:val="18"/>
          <w:szCs w:val="18"/>
        </w:rPr>
      </w:pPr>
      <w:r w:rsidRPr="00A736E7">
        <w:rPr>
          <w:rFonts w:ascii="Verdana" w:eastAsia="Times New Roman" w:hAnsi="Verdana" w:cs="Times New Roman"/>
          <w:i/>
          <w:iCs/>
          <w:color w:val="111111"/>
          <w:sz w:val="18"/>
        </w:rPr>
        <w:t>M</w:t>
      </w:r>
      <w:r w:rsidR="00D51D1B">
        <w:rPr>
          <w:rFonts w:ascii="Verdana" w:eastAsia="Times New Roman" w:hAnsi="Verdana" w:cs="Times New Roman"/>
          <w:i/>
          <w:iCs/>
          <w:color w:val="111111"/>
          <w:sz w:val="18"/>
        </w:rPr>
        <w:t>ohammad</w:t>
      </w:r>
      <w:r w:rsidRPr="00A736E7">
        <w:rPr>
          <w:rFonts w:ascii="Verdana" w:eastAsia="Times New Roman" w:hAnsi="Verdana" w:cs="Times New Roman"/>
          <w:i/>
          <w:iCs/>
          <w:color w:val="111111"/>
          <w:sz w:val="18"/>
        </w:rPr>
        <w:t xml:space="preserve"> Altaf Hossain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EA6EC1">
      <w:pPr>
        <w:pStyle w:val="BodyText"/>
        <w:spacing w:before="90" w:line="280" w:lineRule="auto"/>
        <w:ind w:left="100"/>
        <w:jc w:val="both"/>
        <w:rPr>
          <w:rFonts w:ascii="Verdana" w:eastAsia="Times New Roman" w:hAnsi="Verdana" w:cs="Times New Roman"/>
          <w:color w:val="111111"/>
        </w:rPr>
      </w:pPr>
      <w:r w:rsidRPr="00A736E7">
        <w:rPr>
          <w:rFonts w:ascii="Verdana" w:eastAsia="Times New Roman" w:hAnsi="Verdana" w:cs="Times New Roman"/>
          <w:color w:val="111111"/>
        </w:rPr>
        <w:t>Generally nutrient deficiency of a soil is corrected through application of chemical fertilizers. Fertilizers on one hand are costly and on the other hand it may lead to water pollution by nitrogen and phosphorus from agricultural land. Screening of genotypes for nutrient stress tolerance could be the best alternative to overcome the situation. The present study evaluates the plant growth characters with emphasis on root growth and nutrient uptake of selected mungbean genotypes and examines the efficiency of certain growth parameters for predicting their adaptation in sub-optimal nutrient environment. Some genotypes (VC 6153B, GK3 &amp; VC 6144A) were found to be high nutrient acquiring genotypes and some (PDM 54, IPSA 25 &amp; VO 1443 A-G) were low nutrient acquiring genotypes. </w:t>
      </w:r>
    </w:p>
    <w:p w:rsidR="00EA6EC1" w:rsidRDefault="00EA6EC1">
      <w:pPr>
        <w:pStyle w:val="BodyText"/>
        <w:spacing w:before="90" w:line="280" w:lineRule="auto"/>
        <w:ind w:left="100"/>
        <w:jc w:val="both"/>
      </w:pPr>
      <w:r w:rsidRPr="00A736E7">
        <w:rPr>
          <w:rFonts w:ascii="Verdana" w:eastAsia="Times New Roman" w:hAnsi="Verdana" w:cs="Times New Roman"/>
          <w:b/>
          <w:bCs/>
          <w:color w:val="111111"/>
        </w:rPr>
        <w:t>Key words:</w:t>
      </w:r>
      <w:r w:rsidRPr="00A736E7">
        <w:rPr>
          <w:rFonts w:ascii="Verdana" w:eastAsia="Times New Roman" w:hAnsi="Verdana" w:cs="Times New Roman"/>
          <w:color w:val="111111"/>
        </w:rPr>
        <w:t> Mungbean, genotypes, nutrient stress.</w:t>
      </w:r>
    </w:p>
    <w:p w:rsidR="00D51D1B" w:rsidRDefault="00A9710C">
      <w:pPr>
        <w:pStyle w:val="Heading3"/>
        <w:spacing w:before="74"/>
        <w:rPr>
          <w:color w:val="BF5A14"/>
        </w:rPr>
      </w:pPr>
      <w:r>
        <w:rPr>
          <w:b w:val="0"/>
        </w:rPr>
        <w:br w:type="column"/>
      </w:r>
      <w:r>
        <w:rPr>
          <w:color w:val="BF5A14"/>
        </w:rPr>
        <w:lastRenderedPageBreak/>
        <w:t>Image</w:t>
      </w:r>
    </w:p>
    <w:p w:rsidR="00AE3E37" w:rsidRDefault="00D51D1B">
      <w:pPr>
        <w:pStyle w:val="Heading3"/>
        <w:spacing w:before="74"/>
      </w:pPr>
      <w:r>
        <w:t xml:space="preserve">      </w:t>
      </w:r>
      <w:r>
        <w:rPr>
          <w:b w:val="0"/>
          <w:noProof/>
          <w:color w:val="BF5A14"/>
        </w:rPr>
        <w:drawing>
          <wp:inline distT="0" distB="0" distL="0" distR="0">
            <wp:extent cx="1118312" cy="788270"/>
            <wp:effectExtent l="19050" t="0" r="5638" b="0"/>
            <wp:docPr id="5" name="Picture 3" descr="C:\Users\PSO Survy\Pictures\My Scans\PhD expt photo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SO Survy\Pictures\My Scans\PhD expt photo0001.jpg"/>
                    <pic:cNvPicPr>
                      <a:picLocks noChangeAspect="1" noChangeArrowheads="1"/>
                    </pic:cNvPicPr>
                  </pic:nvPicPr>
                  <pic:blipFill>
                    <a:blip r:embed="rId9" cstate="print">
                      <a:lum contrast="10000"/>
                    </a:blip>
                    <a:srcRect/>
                    <a:stretch>
                      <a:fillRect/>
                    </a:stretch>
                  </pic:blipFill>
                  <pic:spPr bwMode="auto">
                    <a:xfrm>
                      <a:off x="0" y="0"/>
                      <a:ext cx="1120263" cy="789645"/>
                    </a:xfrm>
                    <a:prstGeom prst="rect">
                      <a:avLst/>
                    </a:prstGeom>
                    <a:noFill/>
                    <a:ln w="9525">
                      <a:noFill/>
                      <a:miter lim="800000"/>
                      <a:headEnd/>
                      <a:tailEnd/>
                    </a:ln>
                  </pic:spPr>
                </pic:pic>
              </a:graphicData>
            </a:graphic>
          </wp:inline>
        </w:drawing>
      </w:r>
      <w:r>
        <w:rPr>
          <w:b w:val="0"/>
          <w:noProof/>
          <w:color w:val="BF5A14"/>
        </w:rPr>
        <w:drawing>
          <wp:inline distT="0" distB="0" distL="0" distR="0">
            <wp:extent cx="1145839" cy="791548"/>
            <wp:effectExtent l="19050" t="0" r="0" b="0"/>
            <wp:docPr id="6" name="Picture 2" descr="C:\Users\PSO Survy\Pictures\My Scans\PhD expt photo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SO Survy\Pictures\My Scans\PhD expt photo0002.jpg"/>
                    <pic:cNvPicPr>
                      <a:picLocks noChangeAspect="1" noChangeArrowheads="1"/>
                    </pic:cNvPicPr>
                  </pic:nvPicPr>
                  <pic:blipFill>
                    <a:blip r:embed="rId10" cstate="print"/>
                    <a:srcRect/>
                    <a:stretch>
                      <a:fillRect/>
                    </a:stretch>
                  </pic:blipFill>
                  <pic:spPr bwMode="auto">
                    <a:xfrm>
                      <a:off x="0" y="0"/>
                      <a:ext cx="1145820" cy="791535"/>
                    </a:xfrm>
                    <a:prstGeom prst="rect">
                      <a:avLst/>
                    </a:prstGeom>
                    <a:noFill/>
                    <a:ln w="9525">
                      <a:noFill/>
                      <a:miter lim="800000"/>
                      <a:headEnd/>
                      <a:tailEnd/>
                    </a:ln>
                  </pic:spPr>
                </pic:pic>
              </a:graphicData>
            </a:graphic>
          </wp:inline>
        </w:drawing>
      </w:r>
    </w:p>
    <w:p w:rsidR="00AE3E37" w:rsidRDefault="00D51D1B">
      <w:pPr>
        <w:pStyle w:val="BodyText"/>
        <w:spacing w:before="2"/>
        <w:rPr>
          <w:rFonts w:ascii="Arial"/>
          <w:b/>
          <w:sz w:val="16"/>
        </w:rPr>
      </w:pPr>
      <w:r>
        <w:rPr>
          <w:rFonts w:ascii="Arial"/>
          <w:b/>
          <w:sz w:val="16"/>
        </w:rPr>
        <w:t xml:space="preserve">  </w:t>
      </w:r>
    </w:p>
    <w:p w:rsidR="005973B9" w:rsidRDefault="005973B9" w:rsidP="005973B9">
      <w:pPr>
        <w:spacing w:line="204" w:lineRule="exact"/>
        <w:rPr>
          <w:rFonts w:ascii="Arial"/>
          <w:b/>
          <w:sz w:val="20"/>
        </w:rPr>
      </w:pPr>
      <w:r>
        <w:rPr>
          <w:rFonts w:ascii="Arial"/>
          <w:b/>
          <w:color w:val="BF5A14"/>
          <w:sz w:val="20"/>
        </w:rPr>
        <w:br/>
      </w:r>
      <w:r w:rsidR="00D51D1B">
        <w:rPr>
          <w:rFonts w:ascii="Arial"/>
          <w:b/>
          <w:color w:val="BF5A14"/>
          <w:sz w:val="20"/>
        </w:rPr>
        <w:t xml:space="preserve">   </w:t>
      </w:r>
      <w:r>
        <w:rPr>
          <w:rFonts w:ascii="Arial"/>
          <w:b/>
          <w:color w:val="BF5A14"/>
          <w:sz w:val="20"/>
        </w:rPr>
        <w:t>Recent Publications (minimum 5)</w:t>
      </w:r>
    </w:p>
    <w:p w:rsidR="00EA6EC1" w:rsidRPr="00EA6EC1" w:rsidRDefault="00EA6EC1" w:rsidP="00EA6EC1">
      <w:pPr>
        <w:pStyle w:val="Footer"/>
        <w:ind w:left="540" w:hanging="180"/>
        <w:jc w:val="both"/>
        <w:rPr>
          <w:rFonts w:ascii="Times New Roman" w:hAnsi="Times New Roman"/>
          <w:i/>
          <w:sz w:val="16"/>
          <w:szCs w:val="16"/>
        </w:rPr>
      </w:pPr>
      <w:r w:rsidRPr="00EA6EC1">
        <w:rPr>
          <w:rFonts w:ascii="Times New Roman" w:hAnsi="Times New Roman"/>
          <w:sz w:val="16"/>
          <w:szCs w:val="16"/>
        </w:rPr>
        <w:t>1. Hossain et al., 201</w:t>
      </w:r>
      <w:r w:rsidR="000408E3">
        <w:rPr>
          <w:rFonts w:ascii="Times New Roman" w:hAnsi="Times New Roman"/>
          <w:sz w:val="16"/>
          <w:szCs w:val="16"/>
        </w:rPr>
        <w:t>8</w:t>
      </w:r>
      <w:r w:rsidRPr="00EA6EC1">
        <w:rPr>
          <w:rFonts w:ascii="Times New Roman" w:hAnsi="Times New Roman"/>
          <w:sz w:val="16"/>
          <w:szCs w:val="16"/>
        </w:rPr>
        <w:t>. Introduction of Quesungual Slash and Mulch Agro-forestry System (QSMAS) for Enhancing Crop Yields and Soil Quality in Chittagong Hill Tracts</w:t>
      </w:r>
      <w:r w:rsidR="000408E3">
        <w:rPr>
          <w:rFonts w:ascii="Times New Roman" w:hAnsi="Times New Roman"/>
          <w:sz w:val="16"/>
          <w:szCs w:val="16"/>
        </w:rPr>
        <w:t>.</w:t>
      </w:r>
      <w:r w:rsidRPr="00EA6EC1">
        <w:rPr>
          <w:rFonts w:ascii="Times New Roman" w:hAnsi="Times New Roman"/>
          <w:sz w:val="16"/>
          <w:szCs w:val="16"/>
        </w:rPr>
        <w:t xml:space="preserve"> </w:t>
      </w:r>
      <w:r w:rsidRPr="00EA6EC1">
        <w:rPr>
          <w:rFonts w:ascii="Times New Roman" w:hAnsi="Times New Roman"/>
          <w:i/>
          <w:sz w:val="16"/>
          <w:szCs w:val="16"/>
        </w:rPr>
        <w:t>Agricultural Studies, page</w:t>
      </w:r>
      <w:r w:rsidR="00BC2301" w:rsidRPr="00BC2301">
        <w:rPr>
          <w:rFonts w:ascii="Times New Roman" w:hAnsi="Times New Roman"/>
          <w:i/>
          <w:sz w:val="16"/>
          <w:szCs w:val="16"/>
        </w:rPr>
        <w:fldChar w:fldCharType="begin"/>
      </w:r>
      <w:r w:rsidRPr="00EA6EC1">
        <w:rPr>
          <w:rFonts w:ascii="Times New Roman" w:hAnsi="Times New Roman"/>
          <w:i/>
          <w:sz w:val="16"/>
          <w:szCs w:val="16"/>
        </w:rPr>
        <w:instrText xml:space="preserve"> PAGE   \* MERGEFORMAT </w:instrText>
      </w:r>
      <w:r w:rsidR="00BC2301" w:rsidRPr="00BC2301">
        <w:rPr>
          <w:rFonts w:ascii="Times New Roman" w:hAnsi="Times New Roman"/>
          <w:i/>
          <w:sz w:val="16"/>
          <w:szCs w:val="16"/>
        </w:rPr>
        <w:fldChar w:fldCharType="separate"/>
      </w:r>
      <w:r w:rsidRPr="00EA6EC1">
        <w:rPr>
          <w:rFonts w:ascii="Times New Roman" w:hAnsi="Times New Roman"/>
          <w:i/>
          <w:noProof/>
          <w:sz w:val="16"/>
          <w:szCs w:val="16"/>
        </w:rPr>
        <w:t>135</w:t>
      </w:r>
      <w:r w:rsidR="00BC2301" w:rsidRPr="00EA6EC1">
        <w:rPr>
          <w:rFonts w:ascii="Times New Roman" w:hAnsi="Times New Roman"/>
          <w:i/>
          <w:noProof/>
          <w:sz w:val="16"/>
          <w:szCs w:val="16"/>
          <w:lang w:val="zh-CN"/>
        </w:rPr>
        <w:fldChar w:fldCharType="end"/>
      </w:r>
      <w:r w:rsidRPr="00EA6EC1">
        <w:rPr>
          <w:rFonts w:ascii="Times New Roman" w:hAnsi="Times New Roman"/>
          <w:i/>
          <w:sz w:val="16"/>
          <w:szCs w:val="16"/>
        </w:rPr>
        <w:t xml:space="preserve">-145 </w:t>
      </w:r>
      <w:hyperlink r:id="rId11" w:history="1">
        <w:r w:rsidRPr="00EA6EC1">
          <w:rPr>
            <w:rStyle w:val="Hyperlink"/>
            <w:rFonts w:ascii="Times New Roman" w:hAnsi="Times New Roman"/>
            <w:i/>
            <w:sz w:val="16"/>
            <w:szCs w:val="16"/>
          </w:rPr>
          <w:t>www.itspoa.com/journal/as</w:t>
        </w:r>
      </w:hyperlink>
      <w:r w:rsidRPr="00EA6EC1">
        <w:rPr>
          <w:rFonts w:ascii="Times New Roman" w:hAnsi="Times New Roman"/>
          <w:i/>
          <w:sz w:val="16"/>
          <w:szCs w:val="16"/>
        </w:rPr>
        <w:t xml:space="preserve"> </w:t>
      </w:r>
    </w:p>
    <w:p w:rsidR="00EA6EC1" w:rsidRPr="00EA6EC1" w:rsidRDefault="00EA6EC1" w:rsidP="00EA6EC1">
      <w:pPr>
        <w:pStyle w:val="Footer"/>
        <w:ind w:left="540" w:hanging="180"/>
        <w:jc w:val="both"/>
        <w:rPr>
          <w:rFonts w:ascii="Times New Roman" w:hAnsi="Times New Roman"/>
          <w:b/>
          <w:sz w:val="16"/>
          <w:szCs w:val="16"/>
        </w:rPr>
      </w:pPr>
      <w:r w:rsidRPr="00EA6EC1">
        <w:rPr>
          <w:rFonts w:ascii="Times New Roman" w:hAnsi="Times New Roman"/>
          <w:sz w:val="16"/>
          <w:szCs w:val="16"/>
        </w:rPr>
        <w:t>2.</w:t>
      </w:r>
      <w:r w:rsidRPr="00EA6EC1">
        <w:rPr>
          <w:rFonts w:ascii="Times New Roman" w:hAnsi="Times New Roman"/>
          <w:i/>
          <w:sz w:val="16"/>
          <w:szCs w:val="16"/>
        </w:rPr>
        <w:t xml:space="preserve"> </w:t>
      </w:r>
      <w:r w:rsidRPr="00EA6EC1">
        <w:rPr>
          <w:rFonts w:ascii="Times New Roman" w:hAnsi="Times New Roman"/>
          <w:sz w:val="16"/>
          <w:szCs w:val="16"/>
        </w:rPr>
        <w:t>Hossain and Ahmad, 2017. Livelihood status of hill dwellers in Bandarban, Bangladesh. IJBMSR 03 (01):154-161. (https://doi.org/10.18801/ijbmsr.030117.18)</w:t>
      </w:r>
      <w:r w:rsidRPr="00EA6EC1">
        <w:rPr>
          <w:rFonts w:ascii="Times New Roman" w:hAnsi="Times New Roman"/>
          <w:b/>
          <w:sz w:val="16"/>
          <w:szCs w:val="16"/>
        </w:rPr>
        <w:t xml:space="preserve"> </w:t>
      </w:r>
    </w:p>
    <w:p w:rsidR="00EA6EC1" w:rsidRPr="00EA6EC1" w:rsidRDefault="00EA6EC1" w:rsidP="00EA6EC1">
      <w:pPr>
        <w:pStyle w:val="Footer"/>
        <w:ind w:left="540" w:hanging="180"/>
        <w:jc w:val="both"/>
        <w:rPr>
          <w:rFonts w:ascii="Times New Roman" w:hAnsi="Times New Roman"/>
          <w:sz w:val="16"/>
          <w:szCs w:val="16"/>
        </w:rPr>
      </w:pPr>
      <w:r w:rsidRPr="00EA6EC1">
        <w:rPr>
          <w:rFonts w:ascii="Times New Roman" w:hAnsi="Times New Roman"/>
          <w:sz w:val="16"/>
          <w:szCs w:val="16"/>
        </w:rPr>
        <w:t>3.Hossain and Siddique, 2015. Water-A limiting resource for sustainable agriculture in Bangladesh, EC Agriculture 1:2 (2015):124-137.</w:t>
      </w:r>
    </w:p>
    <w:p w:rsidR="00EA6EC1" w:rsidRPr="00EA6EC1" w:rsidRDefault="00EA6EC1" w:rsidP="00EA6EC1">
      <w:pPr>
        <w:pStyle w:val="Footer"/>
        <w:ind w:left="540" w:hanging="180"/>
        <w:jc w:val="both"/>
        <w:rPr>
          <w:rFonts w:ascii="Times New Roman" w:hAnsi="Times New Roman"/>
          <w:sz w:val="16"/>
          <w:szCs w:val="16"/>
        </w:rPr>
      </w:pPr>
      <w:r w:rsidRPr="00EA6EC1">
        <w:rPr>
          <w:rFonts w:ascii="Times New Roman" w:hAnsi="Times New Roman"/>
          <w:sz w:val="16"/>
          <w:szCs w:val="16"/>
        </w:rPr>
        <w:t xml:space="preserve">4. Hossain and Dewan, 2015. Land Zoning: concept and its urgency in Bangladesh, EC Agriculture 1:1 (2015):57-72. </w:t>
      </w:r>
    </w:p>
    <w:p w:rsidR="00EA6EC1" w:rsidRPr="00EA6EC1" w:rsidRDefault="00EA6EC1" w:rsidP="00EA6EC1">
      <w:pPr>
        <w:pStyle w:val="Footer"/>
        <w:ind w:left="540" w:hanging="180"/>
        <w:jc w:val="both"/>
        <w:rPr>
          <w:rFonts w:ascii="Times New Roman" w:hAnsi="Times New Roman"/>
          <w:sz w:val="16"/>
          <w:szCs w:val="16"/>
        </w:rPr>
      </w:pPr>
      <w:r w:rsidRPr="00EA6EC1">
        <w:rPr>
          <w:rFonts w:ascii="Times New Roman" w:hAnsi="Times New Roman"/>
          <w:sz w:val="16"/>
          <w:szCs w:val="16"/>
        </w:rPr>
        <w:t xml:space="preserve">5. </w:t>
      </w:r>
      <w:r w:rsidRPr="00EA6EC1">
        <w:rPr>
          <w:rFonts w:ascii="Times New Roman" w:hAnsi="Times New Roman"/>
          <w:bCs/>
          <w:sz w:val="16"/>
          <w:szCs w:val="16"/>
        </w:rPr>
        <w:t>M. A. Hossain, 2011.</w:t>
      </w:r>
      <w:r w:rsidRPr="00EA6EC1">
        <w:rPr>
          <w:rFonts w:ascii="Times New Roman" w:hAnsi="Times New Roman"/>
          <w:b/>
          <w:bCs/>
          <w:sz w:val="16"/>
          <w:szCs w:val="16"/>
        </w:rPr>
        <w:t xml:space="preserve"> </w:t>
      </w:r>
      <w:r w:rsidRPr="00EA6EC1">
        <w:rPr>
          <w:rFonts w:ascii="Times New Roman" w:hAnsi="Times New Roman"/>
          <w:bCs/>
          <w:sz w:val="16"/>
          <w:szCs w:val="16"/>
        </w:rPr>
        <w:t xml:space="preserve">Land Resources Appraisal and Crop Management in Bangladesh, </w:t>
      </w:r>
      <w:r w:rsidRPr="00EA6EC1">
        <w:rPr>
          <w:rFonts w:ascii="Times New Roman" w:hAnsi="Times New Roman"/>
          <w:sz w:val="16"/>
          <w:szCs w:val="16"/>
        </w:rPr>
        <w:t xml:space="preserve">CROP &amp; ENVIRONMENT 2012, 3(1-2): 67-70 ISSN :2221-0237 (PRINT) ISSN :2221-0245 (ON LINE) </w:t>
      </w:r>
    </w:p>
    <w:p w:rsidR="00EA6EC1" w:rsidRPr="00EA6EC1" w:rsidRDefault="00EA6EC1" w:rsidP="00EA6EC1">
      <w:pPr>
        <w:pStyle w:val="Footer"/>
        <w:ind w:left="540" w:hanging="180"/>
        <w:jc w:val="both"/>
        <w:rPr>
          <w:rFonts w:ascii="Times New Roman" w:hAnsi="Times New Roman"/>
          <w:sz w:val="16"/>
          <w:szCs w:val="16"/>
        </w:rPr>
      </w:pPr>
      <w:r w:rsidRPr="00EA6EC1">
        <w:rPr>
          <w:rFonts w:ascii="Times New Roman" w:hAnsi="Times New Roman"/>
          <w:sz w:val="16"/>
          <w:szCs w:val="16"/>
        </w:rPr>
        <w:t xml:space="preserve">6. </w:t>
      </w:r>
      <w:r w:rsidRPr="00EA6EC1">
        <w:rPr>
          <w:rFonts w:ascii="Times New Roman" w:hAnsi="Times New Roman"/>
          <w:bCs/>
          <w:sz w:val="16"/>
          <w:szCs w:val="16"/>
        </w:rPr>
        <w:t xml:space="preserve">M. A. Hossain, 2011. An overview on shifting cultivation with reference to Bangladesh, </w:t>
      </w:r>
      <w:r w:rsidRPr="00EA6EC1">
        <w:rPr>
          <w:rFonts w:ascii="Times New Roman" w:hAnsi="Times New Roman"/>
          <w:sz w:val="16"/>
          <w:szCs w:val="16"/>
        </w:rPr>
        <w:t xml:space="preserve">Scientific Research and Essays Vol. 6(31), pp. 6509-6514, 16 December, 2011 Available online at </w:t>
      </w:r>
      <w:hyperlink r:id="rId12" w:history="1">
        <w:r w:rsidRPr="00EA6EC1">
          <w:rPr>
            <w:rStyle w:val="Hyperlink"/>
            <w:rFonts w:ascii="Times New Roman" w:hAnsi="Times New Roman"/>
            <w:sz w:val="16"/>
            <w:szCs w:val="16"/>
          </w:rPr>
          <w:t>http://www.academicjournals.org/SRE</w:t>
        </w:r>
      </w:hyperlink>
      <w:r w:rsidRPr="00EA6EC1">
        <w:rPr>
          <w:rFonts w:ascii="Times New Roman" w:hAnsi="Times New Roman"/>
          <w:sz w:val="16"/>
          <w:szCs w:val="16"/>
        </w:rPr>
        <w:t xml:space="preserve"> </w:t>
      </w:r>
    </w:p>
    <w:p w:rsidR="00EA6EC1" w:rsidRPr="00EA6EC1" w:rsidRDefault="00EA6EC1" w:rsidP="00EA6EC1">
      <w:pPr>
        <w:pStyle w:val="Footer"/>
        <w:ind w:left="540" w:hanging="180"/>
        <w:jc w:val="both"/>
        <w:rPr>
          <w:rFonts w:ascii="Times New Roman" w:hAnsi="Times New Roman"/>
          <w:sz w:val="16"/>
          <w:szCs w:val="16"/>
        </w:rPr>
      </w:pPr>
      <w:r w:rsidRPr="00EA6EC1">
        <w:rPr>
          <w:rFonts w:ascii="Times New Roman" w:hAnsi="Times New Roman"/>
          <w:sz w:val="16"/>
          <w:szCs w:val="16"/>
        </w:rPr>
        <w:t>7. M.A.Hossain, 2011.</w:t>
      </w:r>
      <w:r w:rsidRPr="00EA6EC1">
        <w:rPr>
          <w:rFonts w:ascii="Times New Roman" w:hAnsi="Times New Roman"/>
          <w:i/>
          <w:iCs/>
          <w:sz w:val="16"/>
          <w:szCs w:val="16"/>
        </w:rPr>
        <w:t xml:space="preserve"> Global Warming induced Sea Level Rise on Soil, Land and Crop Production Loss in Bangladesh, </w:t>
      </w:r>
      <w:r w:rsidRPr="00EA6EC1">
        <w:rPr>
          <w:rFonts w:ascii="Times New Roman" w:hAnsi="Times New Roman"/>
          <w:sz w:val="16"/>
          <w:szCs w:val="16"/>
        </w:rPr>
        <w:t>Journal of Agricultural Science and Technology</w:t>
      </w:r>
      <w:r w:rsidRPr="00EA6EC1">
        <w:rPr>
          <w:rFonts w:ascii="Times New Roman" w:hAnsi="Times New Roman"/>
          <w:color w:val="000000"/>
          <w:sz w:val="16"/>
          <w:szCs w:val="16"/>
        </w:rPr>
        <w:t xml:space="preserve"> (ISSN 1939-1250)</w:t>
      </w:r>
      <w:r w:rsidRPr="00EA6EC1">
        <w:rPr>
          <w:rFonts w:ascii="Times New Roman" w:hAnsi="Times New Roman"/>
          <w:sz w:val="16"/>
          <w:szCs w:val="16"/>
        </w:rPr>
        <w:t>, USA June, 2011.</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BC2301">
      <w:pPr>
        <w:pStyle w:val="BodyText"/>
        <w:spacing w:line="40" w:lineRule="exact"/>
        <w:ind w:left="2202"/>
        <w:rPr>
          <w:rFonts w:ascii="Calibri"/>
          <w:sz w:val="4"/>
        </w:rPr>
      </w:pPr>
      <w:r w:rsidRPr="00BC2301">
        <w:rPr>
          <w:rFonts w:ascii="Calibri"/>
          <w:noProof/>
          <w:sz w:val="4"/>
          <w:lang w:val="en-IN" w:eastAsia="en-IN"/>
        </w:rPr>
      </w:r>
      <w:r w:rsidRPr="00BC2301">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85298" w:rsidRDefault="00585298" w:rsidP="00404E5B">
      <w:pPr>
        <w:spacing w:before="92"/>
        <w:ind w:right="4234"/>
        <w:rPr>
          <w:noProof/>
        </w:rPr>
      </w:pPr>
      <w:r>
        <w:rPr>
          <w:noProof/>
        </w:rPr>
        <w:t xml:space="preserve">     </w:t>
      </w:r>
      <w:r w:rsidRPr="00585298">
        <w:rPr>
          <w:noProof/>
        </w:rPr>
        <w:drawing>
          <wp:inline distT="0" distB="0" distL="0" distR="0">
            <wp:extent cx="405232" cy="614477"/>
            <wp:effectExtent l="19050" t="0" r="0" b="0"/>
            <wp:docPr id="2" name="Picture 1" descr="C:\Users\PSO Survy\Pictures\Reunion BAU 84 batch\DSC03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SO Survy\Pictures\Reunion BAU 84 batch\DSC03292.JPG"/>
                    <pic:cNvPicPr>
                      <a:picLocks noChangeAspect="1" noChangeArrowheads="1"/>
                    </pic:cNvPicPr>
                  </pic:nvPicPr>
                  <pic:blipFill>
                    <a:blip r:embed="rId13" cstate="print"/>
                    <a:srcRect l="79795" t="28240" r="13363" b="57973"/>
                    <a:stretch>
                      <a:fillRect/>
                    </a:stretch>
                  </pic:blipFill>
                  <pic:spPr bwMode="auto">
                    <a:xfrm>
                      <a:off x="0" y="0"/>
                      <a:ext cx="405232" cy="614477"/>
                    </a:xfrm>
                    <a:prstGeom prst="rect">
                      <a:avLst/>
                    </a:prstGeom>
                    <a:noFill/>
                    <a:ln w="9525">
                      <a:noFill/>
                      <a:miter lim="800000"/>
                      <a:headEnd/>
                      <a:tailEnd/>
                    </a:ln>
                  </pic:spPr>
                </pic:pic>
              </a:graphicData>
            </a:graphic>
          </wp:inline>
        </w:drawing>
      </w:r>
    </w:p>
    <w:p w:rsidR="00AE3E37" w:rsidRDefault="00585298"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B4420C">
      <w:pPr>
        <w:spacing w:before="41" w:line="154" w:lineRule="exact"/>
        <w:ind w:left="213" w:right="231"/>
        <w:jc w:val="both"/>
        <w:rPr>
          <w:rFonts w:ascii="Arial"/>
          <w:sz w:val="14"/>
        </w:rPr>
      </w:pPr>
      <w:r>
        <w:rPr>
          <w:rFonts w:ascii="Arial"/>
          <w:sz w:val="14"/>
        </w:rPr>
        <w:t>The author was born on February 1963 in Gazipur, Bangladesh</w:t>
      </w:r>
      <w:r w:rsidR="00A9710C">
        <w:rPr>
          <w:rFonts w:ascii="Arial"/>
          <w:sz w:val="14"/>
        </w:rPr>
        <w:t>.</w:t>
      </w:r>
      <w:r>
        <w:rPr>
          <w:rFonts w:ascii="Arial"/>
          <w:sz w:val="14"/>
        </w:rPr>
        <w:t xml:space="preserve"> He was graduated from Bangladesh Agricultural University, Mymensingh in 1984 and obtained his PhD in Agronomy degree in 2004 from Bangabandhu Sheikh Mujibur Rahman Agricultural University, Gazipur. He has published 20 papers in reputed journals of home and abroad. He has two monographs in his credit. </w:t>
      </w:r>
      <w:r w:rsidR="00170B13" w:rsidRPr="00170B13">
        <w:rPr>
          <w:rFonts w:ascii="Arial" w:hAnsi="Arial" w:cs="Arial"/>
          <w:sz w:val="14"/>
          <w:szCs w:val="14"/>
        </w:rPr>
        <w:t>He attended international seminar in Australia, Pakistan and also in Bangladesh as oral presenter. He has successfully implemented 6 research projects under the auspices of Bangladesh Agricultural Research Council capacity of Principal Investigator (PI) and Co-PI</w:t>
      </w:r>
      <w:r w:rsidR="00170B13">
        <w:rPr>
          <w:rFonts w:ascii="Arial" w:hAnsi="Arial" w:cs="Arial"/>
          <w:sz w:val="14"/>
          <w:szCs w:val="14"/>
        </w:rPr>
        <w:t xml:space="preserve">. </w:t>
      </w:r>
      <w:r w:rsidR="00170B13" w:rsidRPr="00170B13">
        <w:rPr>
          <w:rFonts w:ascii="Arial" w:hAnsi="Arial" w:cs="Arial"/>
          <w:sz w:val="14"/>
          <w:szCs w:val="14"/>
        </w:rPr>
        <w:t>He acted as a member of working groups for formulating Good Agricultural Practices Policy and Land Degradation Neutrality–Target setting for Bangladesh. He is involved in peer review of articles of some reputed online journals. He is the founder board member of BiNet (www.binet.bd.com) and editorial board member of journalbinet.bd.com</w:t>
      </w:r>
      <w:r>
        <w:rPr>
          <w:rFonts w:ascii="Arial"/>
          <w:sz w:val="14"/>
        </w:rPr>
        <w:t xml:space="preserve">He is presently serving as Principal Scientific Officer in the Soil Resource Development Institute (SRDI) under Ministry of Agriculture, Govt. of Bangladesh.  </w:t>
      </w:r>
    </w:p>
    <w:p w:rsidR="00AE3E37" w:rsidRDefault="00A9710C" w:rsidP="003F175B">
      <w:pPr>
        <w:spacing w:before="62"/>
        <w:ind w:right="2752"/>
        <w:jc w:val="center"/>
        <w:rPr>
          <w:rFonts w:ascii="Arial"/>
          <w:sz w:val="14"/>
        </w:rPr>
      </w:pPr>
      <w:r>
        <w:rPr>
          <w:rFonts w:ascii="Arial"/>
          <w:sz w:val="14"/>
        </w:rPr>
        <w:t xml:space="preserve">Email: </w:t>
      </w:r>
      <w:hyperlink r:id="rId14" w:history="1">
        <w:r w:rsidR="00B4420C" w:rsidRPr="00762F44">
          <w:rPr>
            <w:rStyle w:val="Hyperlink"/>
            <w:rFonts w:ascii="Arial"/>
            <w:sz w:val="14"/>
          </w:rPr>
          <w:t>altajolly63@yahoo.com</w:t>
        </w:r>
      </w:hyperlink>
      <w:r w:rsidR="00B4420C">
        <w:rPr>
          <w:rFonts w:ascii="Arial"/>
          <w:sz w:val="14"/>
        </w:rPr>
        <w:t xml:space="preserve"> </w:t>
      </w:r>
      <w:r w:rsidR="003F175B" w:rsidRPr="00364417">
        <w:rPr>
          <w:rStyle w:val="Hyperlink"/>
          <w:rFonts w:ascii="Arial"/>
          <w:color w:val="auto"/>
          <w:sz w:val="14"/>
          <w:u w:val="none"/>
        </w:rPr>
        <w:t>Contact No</w:t>
      </w:r>
      <w:r w:rsidR="003F175B" w:rsidRPr="003F175B">
        <w:rPr>
          <w:rStyle w:val="Hyperlink"/>
          <w:rFonts w:ascii="Arial"/>
          <w:sz w:val="14"/>
          <w:u w:val="none"/>
        </w:rPr>
        <w:t xml:space="preserve">: </w:t>
      </w:r>
      <w:r w:rsidR="00B4420C">
        <w:rPr>
          <w:rStyle w:val="Hyperlink"/>
          <w:rFonts w:ascii="Arial"/>
          <w:sz w:val="14"/>
          <w:u w:val="none"/>
        </w:rPr>
        <w:t>88-01871039481</w:t>
      </w:r>
    </w:p>
    <w:p w:rsidR="00AE3E37" w:rsidRDefault="00BC2301">
      <w:pPr>
        <w:pStyle w:val="BodyText"/>
        <w:spacing w:before="2"/>
        <w:rPr>
          <w:rFonts w:ascii="Arial"/>
          <w:sz w:val="19"/>
        </w:rPr>
      </w:pPr>
      <w:r w:rsidRPr="00BC2301">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2A53" w:rsidRDefault="009E2A53">
      <w:r>
        <w:separator/>
      </w:r>
    </w:p>
  </w:endnote>
  <w:endnote w:type="continuationSeparator" w:id="1">
    <w:p w:rsidR="009E2A53" w:rsidRDefault="009E2A5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C2301">
    <w:pPr>
      <w:pStyle w:val="BodyText"/>
      <w:spacing w:line="14" w:lineRule="auto"/>
      <w:rPr>
        <w:sz w:val="20"/>
      </w:rPr>
    </w:pPr>
    <w:r w:rsidRPr="00BC230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C230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C230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2A53" w:rsidRDefault="009E2A53">
      <w:r>
        <w:separator/>
      </w:r>
    </w:p>
  </w:footnote>
  <w:footnote w:type="continuationSeparator" w:id="1">
    <w:p w:rsidR="009E2A53" w:rsidRDefault="009E2A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C2301">
    <w:pPr>
      <w:pStyle w:val="BodyText"/>
      <w:spacing w:line="14" w:lineRule="auto"/>
      <w:rPr>
        <w:sz w:val="20"/>
      </w:rPr>
    </w:pPr>
    <w:r w:rsidRPr="00BC230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C230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AE3E37"/>
    <w:rsid w:val="000408E3"/>
    <w:rsid w:val="00040A78"/>
    <w:rsid w:val="000E2911"/>
    <w:rsid w:val="001263DF"/>
    <w:rsid w:val="00170B13"/>
    <w:rsid w:val="00220B3A"/>
    <w:rsid w:val="00292ED9"/>
    <w:rsid w:val="00364417"/>
    <w:rsid w:val="003F175B"/>
    <w:rsid w:val="00404E5B"/>
    <w:rsid w:val="00414F7B"/>
    <w:rsid w:val="004355DC"/>
    <w:rsid w:val="004749B4"/>
    <w:rsid w:val="00494130"/>
    <w:rsid w:val="004F3523"/>
    <w:rsid w:val="00585298"/>
    <w:rsid w:val="005973B9"/>
    <w:rsid w:val="005B3A56"/>
    <w:rsid w:val="006060CE"/>
    <w:rsid w:val="0063497F"/>
    <w:rsid w:val="007264F3"/>
    <w:rsid w:val="007752AE"/>
    <w:rsid w:val="00850E6D"/>
    <w:rsid w:val="00873DF0"/>
    <w:rsid w:val="008756E6"/>
    <w:rsid w:val="009B2D44"/>
    <w:rsid w:val="009E2A53"/>
    <w:rsid w:val="00A07E82"/>
    <w:rsid w:val="00A9710C"/>
    <w:rsid w:val="00AA31A8"/>
    <w:rsid w:val="00AE3E37"/>
    <w:rsid w:val="00B21A57"/>
    <w:rsid w:val="00B24D59"/>
    <w:rsid w:val="00B4420C"/>
    <w:rsid w:val="00BC2301"/>
    <w:rsid w:val="00C33602"/>
    <w:rsid w:val="00CD6F55"/>
    <w:rsid w:val="00D51D1B"/>
    <w:rsid w:val="00D53F45"/>
    <w:rsid w:val="00DE3104"/>
    <w:rsid w:val="00EA6EC1"/>
    <w:rsid w:val="00F24FA2"/>
    <w:rsid w:val="00F355C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cademicjournals.org/SRE"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tspoa.com/journal/a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mailto:altajolly63@yahoo.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PSO Survy</cp:lastModifiedBy>
  <cp:revision>10</cp:revision>
  <dcterms:created xsi:type="dcterms:W3CDTF">2018-03-07T09:42:00Z</dcterms:created>
  <dcterms:modified xsi:type="dcterms:W3CDTF">2018-03-08T03:43:00Z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