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C18" w:rsidRPr="007B2FC5" w:rsidRDefault="00D43C18" w:rsidP="00D43C18">
      <w:pPr>
        <w:spacing w:line="240" w:lineRule="auto"/>
        <w:jc w:val="center"/>
        <w:rPr>
          <w:rFonts w:asciiTheme="majorBidi" w:hAnsiTheme="majorBidi" w:cstheme="majorBidi"/>
          <w:b/>
          <w:bCs/>
          <w:color w:val="2A2A2A"/>
          <w:sz w:val="24"/>
          <w:szCs w:val="24"/>
          <w:shd w:val="clear" w:color="auto" w:fill="FFFFFF"/>
        </w:rPr>
      </w:pPr>
      <w:bookmarkStart w:id="0" w:name="_GoBack"/>
      <w:bookmarkEnd w:id="0"/>
      <w:r w:rsidRPr="007B2FC5">
        <w:rPr>
          <w:rFonts w:asciiTheme="majorBidi" w:hAnsiTheme="majorBidi" w:cstheme="majorBidi"/>
          <w:b/>
          <w:bCs/>
          <w:color w:val="2A2A2A"/>
          <w:sz w:val="24"/>
          <w:szCs w:val="24"/>
          <w:shd w:val="clear" w:color="auto" w:fill="FFFFFF"/>
        </w:rPr>
        <w:t>Analyzing Food Self-sufficiency in Nigeria in the Lens of Ageing Existing Farmers and Youth Involvement in Farming Activities</w:t>
      </w:r>
    </w:p>
    <w:p w:rsidR="00D43C18" w:rsidRPr="007B2FC5" w:rsidRDefault="00D43C18" w:rsidP="00D43C18">
      <w:pPr>
        <w:spacing w:after="0" w:line="360" w:lineRule="auto"/>
        <w:ind w:left="360"/>
        <w:jc w:val="center"/>
        <w:rPr>
          <w:rFonts w:ascii="Times New Roman" w:hAnsi="Times New Roman" w:cs="Times New Roman"/>
          <w:bCs/>
          <w:sz w:val="24"/>
          <w:szCs w:val="24"/>
          <w:vertAlign w:val="superscript"/>
        </w:rPr>
      </w:pPr>
    </w:p>
    <w:p w:rsidR="00D43C18" w:rsidRDefault="00D43C18" w:rsidP="00D43C18">
      <w:pPr>
        <w:spacing w:after="0" w:line="360" w:lineRule="auto"/>
        <w:ind w:left="360"/>
        <w:jc w:val="center"/>
        <w:rPr>
          <w:rFonts w:ascii="Times New Roman" w:hAnsi="Times New Roman" w:cs="Times New Roman"/>
          <w:b/>
          <w:bCs/>
          <w:sz w:val="24"/>
          <w:szCs w:val="24"/>
        </w:rPr>
      </w:pPr>
      <w:r w:rsidRPr="0023038E">
        <w:rPr>
          <w:rFonts w:ascii="Times New Roman" w:hAnsi="Times New Roman" w:cs="Times New Roman"/>
          <w:sz w:val="24"/>
          <w:szCs w:val="24"/>
          <w:vertAlign w:val="superscript"/>
        </w:rPr>
        <w:t>1</w:t>
      </w:r>
      <w:r w:rsidRPr="007B2FC5">
        <w:rPr>
          <w:rFonts w:ascii="Times New Roman" w:hAnsi="Times New Roman" w:cs="Times New Roman"/>
          <w:b/>
          <w:bCs/>
          <w:sz w:val="24"/>
          <w:szCs w:val="24"/>
        </w:rPr>
        <w:t>Omowumi A. Olowa and</w:t>
      </w:r>
      <w:r w:rsidRPr="007B2FC5">
        <w:rPr>
          <w:rFonts w:ascii="Times New Roman" w:hAnsi="Times New Roman" w:cs="Times New Roman"/>
          <w:bCs/>
          <w:sz w:val="24"/>
          <w:szCs w:val="24"/>
          <w:vertAlign w:val="superscript"/>
        </w:rPr>
        <w:t xml:space="preserve"> 2</w:t>
      </w:r>
      <w:r w:rsidRPr="007B2FC5">
        <w:rPr>
          <w:rFonts w:ascii="Times New Roman" w:hAnsi="Times New Roman" w:cs="Times New Roman"/>
          <w:b/>
          <w:bCs/>
          <w:sz w:val="24"/>
          <w:szCs w:val="24"/>
        </w:rPr>
        <w:t xml:space="preserve">Olatomide W. Olowa </w:t>
      </w:r>
    </w:p>
    <w:p w:rsidR="00D43C18" w:rsidRPr="007B2FC5" w:rsidRDefault="00D43C18" w:rsidP="00D43C18">
      <w:pPr>
        <w:spacing w:after="0" w:line="360" w:lineRule="auto"/>
        <w:ind w:left="360"/>
        <w:jc w:val="center"/>
        <w:rPr>
          <w:rFonts w:ascii="Times New Roman" w:hAnsi="Times New Roman" w:cs="Times New Roman"/>
          <w:bCs/>
          <w:sz w:val="24"/>
          <w:szCs w:val="24"/>
        </w:rPr>
      </w:pPr>
      <w:r w:rsidRPr="0023038E">
        <w:rPr>
          <w:rFonts w:ascii="Times New Roman" w:hAnsi="Times New Roman" w:cs="Times New Roman"/>
          <w:bCs/>
          <w:sz w:val="24"/>
          <w:szCs w:val="24"/>
          <w:vertAlign w:val="superscript"/>
        </w:rPr>
        <w:t>1&amp;2</w:t>
      </w:r>
      <w:r w:rsidRPr="007B2FC5">
        <w:rPr>
          <w:rFonts w:ascii="Times New Roman" w:hAnsi="Times New Roman" w:cs="Times New Roman"/>
          <w:bCs/>
          <w:sz w:val="24"/>
          <w:szCs w:val="24"/>
        </w:rPr>
        <w:t>Department of Agricultural Education</w:t>
      </w:r>
    </w:p>
    <w:p w:rsidR="00D43C18" w:rsidRPr="007B2FC5" w:rsidRDefault="00D43C18" w:rsidP="00D43C18">
      <w:pPr>
        <w:spacing w:after="0" w:line="240" w:lineRule="auto"/>
        <w:ind w:left="360"/>
        <w:jc w:val="center"/>
        <w:rPr>
          <w:rFonts w:ascii="Times New Roman" w:hAnsi="Times New Roman" w:cs="Times New Roman"/>
          <w:bCs/>
          <w:sz w:val="24"/>
          <w:szCs w:val="24"/>
        </w:rPr>
      </w:pPr>
      <w:r w:rsidRPr="007B2FC5">
        <w:rPr>
          <w:rFonts w:ascii="Times New Roman" w:hAnsi="Times New Roman" w:cs="Times New Roman"/>
          <w:bCs/>
          <w:sz w:val="24"/>
          <w:szCs w:val="24"/>
        </w:rPr>
        <w:t>Federal College of Education (Technical) Akoka, Lagos State</w:t>
      </w:r>
    </w:p>
    <w:p w:rsidR="00D43C18" w:rsidRPr="007B2FC5" w:rsidRDefault="00D43C18" w:rsidP="00D43C18">
      <w:pPr>
        <w:spacing w:after="0"/>
        <w:ind w:left="2880" w:firstLine="720"/>
        <w:jc w:val="both"/>
        <w:rPr>
          <w:rFonts w:ascii="Times New Roman" w:hAnsi="Times New Roman" w:cs="Times New Roman"/>
          <w:sz w:val="24"/>
          <w:szCs w:val="24"/>
        </w:rPr>
      </w:pPr>
      <w:r w:rsidRPr="007B2FC5">
        <w:rPr>
          <w:rFonts w:ascii="Times New Roman" w:hAnsi="Times New Roman" w:cs="Times New Roman"/>
          <w:sz w:val="24"/>
          <w:szCs w:val="24"/>
        </w:rPr>
        <w:t>Email: olowa</w:t>
      </w:r>
      <w:r>
        <w:rPr>
          <w:rFonts w:ascii="Times New Roman" w:hAnsi="Times New Roman" w:cs="Times New Roman"/>
          <w:sz w:val="24"/>
          <w:szCs w:val="24"/>
        </w:rPr>
        <w:t>oa</w:t>
      </w:r>
      <w:r w:rsidRPr="007B2FC5">
        <w:rPr>
          <w:rFonts w:ascii="Times New Roman" w:hAnsi="Times New Roman" w:cs="Times New Roman"/>
          <w:sz w:val="24"/>
          <w:szCs w:val="24"/>
        </w:rPr>
        <w:t>@</w:t>
      </w:r>
      <w:r>
        <w:rPr>
          <w:rFonts w:ascii="Times New Roman" w:hAnsi="Times New Roman" w:cs="Times New Roman"/>
          <w:sz w:val="24"/>
          <w:szCs w:val="24"/>
        </w:rPr>
        <w:t>gmail</w:t>
      </w:r>
      <w:r w:rsidRPr="007B2FC5">
        <w:rPr>
          <w:rFonts w:ascii="Times New Roman" w:hAnsi="Times New Roman" w:cs="Times New Roman"/>
          <w:sz w:val="24"/>
          <w:szCs w:val="24"/>
        </w:rPr>
        <w:t>.com</w:t>
      </w:r>
    </w:p>
    <w:p w:rsidR="00D43C18" w:rsidRPr="007B2FC5" w:rsidRDefault="00D43C18" w:rsidP="00D43C18">
      <w:pPr>
        <w:spacing w:after="0" w:line="360" w:lineRule="auto"/>
        <w:jc w:val="center"/>
        <w:rPr>
          <w:rFonts w:asciiTheme="majorBidi" w:hAnsiTheme="majorBidi" w:cstheme="majorBidi"/>
          <w:b/>
          <w:bCs/>
          <w:color w:val="2A2A2A"/>
          <w:sz w:val="24"/>
          <w:szCs w:val="24"/>
          <w:shd w:val="clear" w:color="auto" w:fill="FFFFFF"/>
        </w:rPr>
      </w:pPr>
    </w:p>
    <w:p w:rsidR="00D43C18" w:rsidRDefault="00D43C18" w:rsidP="00D43C18">
      <w:pPr>
        <w:spacing w:after="0" w:line="240" w:lineRule="auto"/>
        <w:jc w:val="both"/>
        <w:rPr>
          <w:rFonts w:asciiTheme="majorBidi" w:hAnsiTheme="majorBidi" w:cstheme="majorBidi"/>
          <w:b/>
          <w:bCs/>
          <w:color w:val="000000"/>
          <w:sz w:val="24"/>
          <w:szCs w:val="24"/>
        </w:rPr>
      </w:pPr>
      <w:r w:rsidRPr="004A6F58">
        <w:rPr>
          <w:rFonts w:asciiTheme="majorBidi" w:hAnsiTheme="majorBidi" w:cstheme="majorBidi"/>
          <w:b/>
          <w:bCs/>
          <w:color w:val="000000"/>
          <w:sz w:val="24"/>
          <w:szCs w:val="24"/>
        </w:rPr>
        <w:t>ABSTRACT</w:t>
      </w:r>
    </w:p>
    <w:p w:rsidR="00D43C18" w:rsidRDefault="00D43C18" w:rsidP="00D43C18">
      <w:pPr>
        <w:spacing w:after="0" w:line="240" w:lineRule="auto"/>
        <w:jc w:val="both"/>
        <w:rPr>
          <w:i/>
          <w:iCs/>
          <w:color w:val="000000"/>
        </w:rPr>
      </w:pPr>
      <w:r w:rsidRPr="0004706E">
        <w:rPr>
          <w:rFonts w:asciiTheme="majorBidi" w:hAnsiTheme="majorBidi" w:cstheme="majorBidi"/>
          <w:i/>
          <w:iCs/>
          <w:color w:val="000000"/>
          <w:sz w:val="24"/>
          <w:szCs w:val="24"/>
        </w:rPr>
        <w:t xml:space="preserve">The Food system in Nigeria exhibits demand-supply gap or distorted balance between the market and the society thus </w:t>
      </w:r>
      <w:r>
        <w:rPr>
          <w:rFonts w:asciiTheme="majorBidi" w:hAnsiTheme="majorBidi" w:cstheme="majorBidi"/>
          <w:i/>
          <w:iCs/>
          <w:color w:val="000000"/>
          <w:sz w:val="24"/>
          <w:szCs w:val="24"/>
        </w:rPr>
        <w:t>culminatin</w:t>
      </w:r>
      <w:r w:rsidRPr="0004706E">
        <w:rPr>
          <w:rFonts w:asciiTheme="majorBidi" w:hAnsiTheme="majorBidi" w:cstheme="majorBidi"/>
          <w:i/>
          <w:iCs/>
          <w:color w:val="000000"/>
          <w:sz w:val="24"/>
          <w:szCs w:val="24"/>
        </w:rPr>
        <w:t>g in high food prices</w:t>
      </w:r>
      <w:r>
        <w:rPr>
          <w:rFonts w:asciiTheme="majorBidi" w:hAnsiTheme="majorBidi" w:cstheme="majorBidi"/>
          <w:i/>
          <w:iCs/>
          <w:color w:val="000000"/>
          <w:sz w:val="24"/>
          <w:szCs w:val="24"/>
        </w:rPr>
        <w:t xml:space="preserve"> and endangering the much touted food self-sufficiency</w:t>
      </w:r>
      <w:r w:rsidRPr="0004706E">
        <w:rPr>
          <w:rFonts w:asciiTheme="majorBidi" w:hAnsiTheme="majorBidi" w:cstheme="majorBidi"/>
          <w:i/>
          <w:iCs/>
          <w:color w:val="000000"/>
          <w:sz w:val="24"/>
          <w:szCs w:val="24"/>
        </w:rPr>
        <w:t xml:space="preserve">. While various investigations to unravel the possible causes have focused on other factors, assessment of this problem through the lens of youth involvement in farming production has been given little attention. </w:t>
      </w:r>
      <w:r w:rsidRPr="00022A39">
        <w:rPr>
          <w:rFonts w:asciiTheme="majorBidi" w:hAnsiTheme="majorBidi" w:cstheme="majorBidi"/>
          <w:i/>
          <w:iCs/>
          <w:color w:val="000000"/>
        </w:rPr>
        <w:t xml:space="preserve">The study focused on the factors that determined youth decision and participation in farming in Nigeria using </w:t>
      </w:r>
      <w:proofErr w:type="spellStart"/>
      <w:r w:rsidRPr="00022A39">
        <w:rPr>
          <w:rFonts w:asciiTheme="majorBidi" w:hAnsiTheme="majorBidi" w:cstheme="majorBidi"/>
          <w:i/>
          <w:iCs/>
          <w:color w:val="000000"/>
        </w:rPr>
        <w:t>Ogun</w:t>
      </w:r>
      <w:proofErr w:type="spellEnd"/>
      <w:r w:rsidRPr="00022A39">
        <w:rPr>
          <w:rFonts w:asciiTheme="majorBidi" w:hAnsiTheme="majorBidi" w:cstheme="majorBidi"/>
          <w:i/>
          <w:iCs/>
          <w:color w:val="000000"/>
        </w:rPr>
        <w:t xml:space="preserve"> state as a case study. </w:t>
      </w:r>
      <w:r>
        <w:rPr>
          <w:rFonts w:asciiTheme="majorBidi" w:hAnsiTheme="majorBidi" w:cstheme="majorBidi"/>
          <w:i/>
          <w:iCs/>
          <w:color w:val="000000"/>
        </w:rPr>
        <w:t>Purposive and random sampling techniques were employed to obtain</w:t>
      </w:r>
      <w:r w:rsidRPr="00022A39">
        <w:rPr>
          <w:rFonts w:asciiTheme="majorBidi" w:hAnsiTheme="majorBidi" w:cstheme="majorBidi"/>
          <w:i/>
          <w:iCs/>
          <w:color w:val="000000"/>
        </w:rPr>
        <w:t xml:space="preserve"> </w:t>
      </w:r>
      <w:r>
        <w:rPr>
          <w:rFonts w:asciiTheme="majorBidi" w:hAnsiTheme="majorBidi" w:cstheme="majorBidi"/>
          <w:i/>
          <w:iCs/>
          <w:color w:val="000000"/>
        </w:rPr>
        <w:t>d</w:t>
      </w:r>
      <w:r w:rsidRPr="00022A39">
        <w:rPr>
          <w:rFonts w:asciiTheme="majorBidi" w:hAnsiTheme="majorBidi" w:cstheme="majorBidi"/>
          <w:i/>
          <w:iCs/>
          <w:color w:val="000000"/>
        </w:rPr>
        <w:t>ata from 300 youth spread</w:t>
      </w:r>
      <w:r>
        <w:rPr>
          <w:rFonts w:asciiTheme="majorBidi" w:hAnsiTheme="majorBidi" w:cstheme="majorBidi"/>
          <w:i/>
          <w:iCs/>
          <w:color w:val="000000"/>
        </w:rPr>
        <w:t xml:space="preserve"> </w:t>
      </w:r>
      <w:r w:rsidRPr="00022A39">
        <w:rPr>
          <w:rFonts w:asciiTheme="majorBidi" w:hAnsiTheme="majorBidi" w:cstheme="majorBidi"/>
          <w:i/>
          <w:iCs/>
          <w:color w:val="000000"/>
        </w:rPr>
        <w:t xml:space="preserve">across </w:t>
      </w:r>
      <w:r>
        <w:rPr>
          <w:rFonts w:asciiTheme="majorBidi" w:hAnsiTheme="majorBidi" w:cstheme="majorBidi"/>
          <w:i/>
          <w:iCs/>
          <w:color w:val="000000"/>
        </w:rPr>
        <w:t xml:space="preserve">the </w:t>
      </w:r>
      <w:r w:rsidRPr="00022A39">
        <w:rPr>
          <w:rFonts w:asciiTheme="majorBidi" w:hAnsiTheme="majorBidi" w:cstheme="majorBidi"/>
          <w:i/>
          <w:iCs/>
          <w:color w:val="000000"/>
        </w:rPr>
        <w:t xml:space="preserve">four </w:t>
      </w:r>
      <w:r>
        <w:rPr>
          <w:rFonts w:asciiTheme="majorBidi" w:hAnsiTheme="majorBidi" w:cstheme="majorBidi"/>
          <w:i/>
          <w:iCs/>
          <w:color w:val="000000"/>
        </w:rPr>
        <w:t xml:space="preserve">agricultural zones </w:t>
      </w:r>
      <w:r w:rsidRPr="00022A39">
        <w:rPr>
          <w:rFonts w:asciiTheme="majorBidi" w:hAnsiTheme="majorBidi" w:cstheme="majorBidi"/>
          <w:i/>
          <w:iCs/>
          <w:color w:val="000000"/>
        </w:rPr>
        <w:t>of the State.</w:t>
      </w:r>
      <w:r>
        <w:rPr>
          <w:rFonts w:asciiTheme="majorBidi" w:hAnsiTheme="majorBidi" w:cstheme="majorBidi"/>
          <w:i/>
          <w:iCs/>
          <w:color w:val="000000"/>
        </w:rPr>
        <w:t xml:space="preserve"> Collated data</w:t>
      </w:r>
      <w:r w:rsidRPr="00022A39">
        <w:rPr>
          <w:rFonts w:asciiTheme="majorBidi" w:hAnsiTheme="majorBidi" w:cstheme="majorBidi"/>
          <w:i/>
          <w:iCs/>
          <w:color w:val="000000"/>
        </w:rPr>
        <w:t xml:space="preserve"> were </w:t>
      </w:r>
      <w:r>
        <w:rPr>
          <w:rFonts w:asciiTheme="majorBidi" w:hAnsiTheme="majorBidi" w:cstheme="majorBidi"/>
          <w:i/>
          <w:iCs/>
          <w:color w:val="000000"/>
        </w:rPr>
        <w:t xml:space="preserve">analyzed using </w:t>
      </w:r>
      <w:r w:rsidRPr="00022A39">
        <w:rPr>
          <w:rFonts w:asciiTheme="majorBidi" w:hAnsiTheme="majorBidi" w:cstheme="majorBidi"/>
          <w:i/>
          <w:iCs/>
          <w:color w:val="000000"/>
        </w:rPr>
        <w:t>descriptive</w:t>
      </w:r>
      <w:r>
        <w:rPr>
          <w:rFonts w:asciiTheme="majorBidi" w:hAnsiTheme="majorBidi" w:cstheme="majorBidi"/>
          <w:i/>
          <w:iCs/>
          <w:color w:val="000000"/>
        </w:rPr>
        <w:t>,</w:t>
      </w:r>
      <w:r w:rsidRPr="00022A39">
        <w:rPr>
          <w:rFonts w:asciiTheme="majorBidi" w:hAnsiTheme="majorBidi" w:cstheme="majorBidi"/>
          <w:i/>
          <w:iCs/>
          <w:color w:val="000000"/>
        </w:rPr>
        <w:t xml:space="preserve"> </w:t>
      </w:r>
      <w:proofErr w:type="spellStart"/>
      <w:r w:rsidRPr="00022A39">
        <w:rPr>
          <w:rFonts w:asciiTheme="majorBidi" w:hAnsiTheme="majorBidi" w:cstheme="majorBidi"/>
          <w:i/>
          <w:iCs/>
          <w:color w:val="000000"/>
        </w:rPr>
        <w:t>Logit</w:t>
      </w:r>
      <w:proofErr w:type="spellEnd"/>
      <w:r w:rsidRPr="00022A39">
        <w:rPr>
          <w:rFonts w:asciiTheme="majorBidi" w:hAnsiTheme="majorBidi" w:cstheme="majorBidi"/>
          <w:i/>
          <w:iCs/>
          <w:color w:val="000000"/>
        </w:rPr>
        <w:t xml:space="preserve"> and Poisson regression. The </w:t>
      </w:r>
      <w:proofErr w:type="spellStart"/>
      <w:r w:rsidRPr="00022A39">
        <w:rPr>
          <w:rFonts w:asciiTheme="majorBidi" w:hAnsiTheme="majorBidi" w:cstheme="majorBidi"/>
          <w:i/>
          <w:iCs/>
          <w:color w:val="000000"/>
        </w:rPr>
        <w:t>Logit</w:t>
      </w:r>
      <w:proofErr w:type="spellEnd"/>
      <w:r w:rsidRPr="00022A39">
        <w:rPr>
          <w:rFonts w:asciiTheme="majorBidi" w:hAnsiTheme="majorBidi" w:cstheme="majorBidi"/>
          <w:i/>
          <w:iCs/>
          <w:color w:val="000000"/>
        </w:rPr>
        <w:t xml:space="preserve"> model estimates revealed that years of youth in social organization, access to </w:t>
      </w:r>
      <w:proofErr w:type="spellStart"/>
      <w:r w:rsidRPr="00022A39">
        <w:rPr>
          <w:rFonts w:asciiTheme="majorBidi" w:hAnsiTheme="majorBidi" w:cstheme="majorBidi"/>
          <w:i/>
          <w:iCs/>
          <w:color w:val="000000"/>
        </w:rPr>
        <w:t>ICT</w:t>
      </w:r>
      <w:proofErr w:type="spellEnd"/>
      <w:r w:rsidRPr="00022A39">
        <w:rPr>
          <w:rFonts w:asciiTheme="majorBidi" w:hAnsiTheme="majorBidi" w:cstheme="majorBidi"/>
          <w:i/>
          <w:iCs/>
          <w:color w:val="000000"/>
        </w:rPr>
        <w:t>, nature of land ownership, and youth access to state owned agricultural programme positively determine youth decision to participate in farming activities in the study area. On the contrary, male youth, years of formal education and marital status of youth were negative determinants. The Poisson estimates showed that, youth age, number of extension visit and years in social organization as well as purpose of farming were positive determinant of numbers of hours that youths spent on farming activities per day in the study areas. On the other hand, years of formal education, farm income of previous farming season, land ownership and access to credit affect youth participation negatively. To increase youth participation in farming activities in the study areas, it is recommended among others that,</w:t>
      </w:r>
      <w:r w:rsidRPr="00022A39">
        <w:rPr>
          <w:i/>
          <w:iCs/>
          <w:color w:val="000000"/>
        </w:rPr>
        <w:t xml:space="preserve"> government should </w:t>
      </w:r>
      <w:r>
        <w:rPr>
          <w:i/>
          <w:iCs/>
          <w:color w:val="000000"/>
        </w:rPr>
        <w:t>ease access to</w:t>
      </w:r>
      <w:r w:rsidRPr="00022A39">
        <w:rPr>
          <w:i/>
          <w:iCs/>
          <w:color w:val="000000"/>
        </w:rPr>
        <w:t xml:space="preserve"> soft loans, tractor hiring services, land acquisition, among others to the youths </w:t>
      </w:r>
      <w:r>
        <w:rPr>
          <w:i/>
          <w:iCs/>
          <w:color w:val="000000"/>
        </w:rPr>
        <w:t xml:space="preserve">as motivation </w:t>
      </w:r>
      <w:r w:rsidRPr="00022A39">
        <w:rPr>
          <w:i/>
          <w:iCs/>
          <w:color w:val="000000"/>
        </w:rPr>
        <w:t xml:space="preserve">to intensify </w:t>
      </w:r>
      <w:r>
        <w:rPr>
          <w:i/>
          <w:iCs/>
          <w:color w:val="000000"/>
        </w:rPr>
        <w:t>youth</w:t>
      </w:r>
      <w:r w:rsidRPr="00022A39">
        <w:rPr>
          <w:i/>
          <w:iCs/>
          <w:color w:val="000000"/>
        </w:rPr>
        <w:t xml:space="preserve"> participation in farming activities. </w:t>
      </w:r>
    </w:p>
    <w:p w:rsidR="00D43C18" w:rsidRPr="00022A39" w:rsidRDefault="00D43C18" w:rsidP="00D43C18">
      <w:pPr>
        <w:spacing w:after="0" w:line="240" w:lineRule="auto"/>
        <w:jc w:val="both"/>
        <w:rPr>
          <w:rFonts w:asciiTheme="majorBidi" w:hAnsiTheme="majorBidi" w:cstheme="majorBidi"/>
          <w:i/>
          <w:iCs/>
          <w:color w:val="000000"/>
          <w:u w:val="single"/>
        </w:rPr>
      </w:pPr>
    </w:p>
    <w:p w:rsidR="00D43C18" w:rsidRDefault="00D43C18" w:rsidP="00D43C18">
      <w:pPr>
        <w:spacing w:line="360" w:lineRule="auto"/>
        <w:jc w:val="both"/>
        <w:rPr>
          <w:rFonts w:asciiTheme="majorBidi" w:hAnsiTheme="majorBidi" w:cstheme="majorBidi"/>
          <w:color w:val="000000"/>
          <w:sz w:val="24"/>
          <w:szCs w:val="24"/>
        </w:rPr>
      </w:pPr>
      <w:r w:rsidRPr="001A217E">
        <w:rPr>
          <w:rFonts w:asciiTheme="majorBidi" w:hAnsiTheme="majorBidi" w:cstheme="majorBidi"/>
          <w:b/>
          <w:bCs/>
          <w:color w:val="000000"/>
          <w:sz w:val="24"/>
          <w:szCs w:val="24"/>
        </w:rPr>
        <w:t>KEY WORDS</w:t>
      </w:r>
      <w:r>
        <w:rPr>
          <w:rFonts w:asciiTheme="majorBidi" w:hAnsiTheme="majorBidi" w:cstheme="majorBidi"/>
          <w:b/>
          <w:bCs/>
          <w:color w:val="000000"/>
          <w:sz w:val="24"/>
          <w:szCs w:val="24"/>
        </w:rPr>
        <w:t xml:space="preserve"> </w:t>
      </w:r>
      <w:r w:rsidRPr="001A217E">
        <w:rPr>
          <w:rFonts w:asciiTheme="majorBidi" w:hAnsiTheme="majorBidi" w:cstheme="majorBidi"/>
          <w:color w:val="000000"/>
          <w:sz w:val="24"/>
          <w:szCs w:val="24"/>
        </w:rPr>
        <w:t xml:space="preserve">Youth, </w:t>
      </w:r>
      <w:r>
        <w:rPr>
          <w:rFonts w:asciiTheme="majorBidi" w:hAnsiTheme="majorBidi" w:cstheme="majorBidi"/>
          <w:color w:val="000000"/>
          <w:sz w:val="24"/>
          <w:szCs w:val="24"/>
        </w:rPr>
        <w:t>Participation</w:t>
      </w:r>
      <w:r w:rsidRPr="001A217E">
        <w:rPr>
          <w:rFonts w:asciiTheme="majorBidi" w:hAnsiTheme="majorBidi" w:cstheme="majorBidi"/>
          <w:color w:val="000000"/>
          <w:sz w:val="24"/>
          <w:szCs w:val="24"/>
        </w:rPr>
        <w:t xml:space="preserve">, </w:t>
      </w:r>
      <w:r>
        <w:rPr>
          <w:rFonts w:asciiTheme="majorBidi" w:hAnsiTheme="majorBidi" w:cstheme="majorBidi"/>
          <w:color w:val="000000"/>
          <w:sz w:val="24"/>
          <w:szCs w:val="24"/>
        </w:rPr>
        <w:t>Farming activities</w:t>
      </w:r>
      <w:r w:rsidRPr="001A217E">
        <w:rPr>
          <w:rFonts w:asciiTheme="majorBidi" w:hAnsiTheme="majorBidi" w:cstheme="majorBidi"/>
          <w:color w:val="000000"/>
          <w:sz w:val="24"/>
          <w:szCs w:val="24"/>
        </w:rPr>
        <w:t xml:space="preserve">, </w:t>
      </w:r>
      <w:r>
        <w:rPr>
          <w:rFonts w:asciiTheme="majorBidi" w:hAnsiTheme="majorBidi" w:cstheme="majorBidi"/>
          <w:color w:val="000000"/>
          <w:sz w:val="24"/>
          <w:szCs w:val="24"/>
        </w:rPr>
        <w:t>Food self-sufficiency</w:t>
      </w:r>
      <w:r w:rsidRPr="001A217E">
        <w:rPr>
          <w:rFonts w:asciiTheme="majorBidi" w:hAnsiTheme="majorBidi" w:cstheme="majorBidi"/>
          <w:color w:val="000000"/>
          <w:sz w:val="24"/>
          <w:szCs w:val="24"/>
        </w:rPr>
        <w:t>,</w:t>
      </w:r>
      <w:r>
        <w:rPr>
          <w:rFonts w:asciiTheme="majorBidi" w:hAnsiTheme="majorBidi" w:cstheme="majorBidi"/>
          <w:color w:val="000000"/>
          <w:sz w:val="24"/>
          <w:szCs w:val="24"/>
        </w:rPr>
        <w:t xml:space="preserve"> Agricultural Zones, </w:t>
      </w:r>
      <w:r w:rsidRPr="001A217E">
        <w:rPr>
          <w:rFonts w:asciiTheme="majorBidi" w:hAnsiTheme="majorBidi" w:cstheme="majorBidi"/>
          <w:color w:val="000000"/>
          <w:sz w:val="24"/>
          <w:szCs w:val="24"/>
        </w:rPr>
        <w:t xml:space="preserve"> </w:t>
      </w:r>
    </w:p>
    <w:p w:rsidR="00D43C18" w:rsidRDefault="00D43C18" w:rsidP="00D43C18">
      <w:pPr>
        <w:spacing w:line="360" w:lineRule="auto"/>
        <w:jc w:val="both"/>
        <w:rPr>
          <w:rFonts w:asciiTheme="majorBidi" w:hAnsiTheme="majorBidi" w:cstheme="majorBidi"/>
          <w:color w:val="000000"/>
          <w:sz w:val="24"/>
          <w:szCs w:val="24"/>
        </w:rPr>
      </w:pPr>
    </w:p>
    <w:p w:rsidR="00452522" w:rsidRDefault="00452522"/>
    <w:sectPr w:rsidR="004525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C18"/>
    <w:rsid w:val="00452522"/>
    <w:rsid w:val="00D43C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C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C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1922</Characters>
  <Application>Microsoft Office Word</Application>
  <DocSecurity>0</DocSecurity>
  <Lines>16</Lines>
  <Paragraphs>4</Paragraphs>
  <ScaleCrop>false</ScaleCrop>
  <Company/>
  <LinksUpToDate>false</LinksUpToDate>
  <CharactersWithSpaces>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Ayodele</dc:creator>
  <cp:lastModifiedBy>Ayodele </cp:lastModifiedBy>
  <cp:revision>1</cp:revision>
  <dcterms:created xsi:type="dcterms:W3CDTF">2018-02-16T09:16:00Z</dcterms:created>
  <dcterms:modified xsi:type="dcterms:W3CDTF">2018-02-16T09:17:00Z</dcterms:modified>
</cp:coreProperties>
</file>