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spacing w:after="0" w:lineRule="auto" w:line="240"/>
        <w:ind w:left="720" w:hanging="720"/>
        <w:jc w:val="left"/>
        <w:rPr/>
      </w:pPr>
    </w:p>
    <w:p>
      <w:pPr>
        <w:pStyle w:val="style0"/>
        <w:spacing w:after="0"/>
        <w:jc w:val="center"/>
        <w:rPr>
          <w:rFonts w:cs="Times New Roman"/>
          <w:b/>
          <w:bCs/>
          <w:color w:val="000000"/>
          <w:szCs w:val="24"/>
        </w:rPr>
      </w:pPr>
      <w:r>
        <w:rPr>
          <w:rFonts w:cs="Times New Roman"/>
          <w:b/>
          <w:bCs/>
          <w:color w:val="000000"/>
          <w:szCs w:val="24"/>
        </w:rPr>
        <w:t xml:space="preserve">EFFECT OF SORGHUM BIOCHAR </w:t>
      </w:r>
      <w:r>
        <w:rPr>
          <w:rFonts w:cs="Times New Roman"/>
          <w:b/>
          <w:bCs/>
          <w:color w:val="000000"/>
          <w:szCs w:val="24"/>
        </w:rPr>
        <w:t xml:space="preserve">ON </w:t>
      </w:r>
      <w:r>
        <w:rPr>
          <w:rFonts w:cs="Times New Roman"/>
          <w:b/>
          <w:bCs/>
          <w:color w:val="000000"/>
          <w:szCs w:val="24"/>
        </w:rPr>
        <w:t>AMARANTUS PERFORMANCE IN NKOLBISSON</w:t>
      </w:r>
      <w:r>
        <w:rPr>
          <w:rFonts w:cs="Times New Roman"/>
          <w:b/>
          <w:bCs/>
          <w:color w:val="000000"/>
          <w:szCs w:val="24"/>
        </w:rPr>
        <w:t>,</w:t>
      </w:r>
      <w:r>
        <w:rPr>
          <w:rFonts w:cs="Times New Roman"/>
          <w:b/>
          <w:bCs/>
          <w:color w:val="000000"/>
          <w:szCs w:val="24"/>
        </w:rPr>
        <w:t xml:space="preserve"> </w:t>
      </w:r>
      <w:r>
        <w:rPr>
          <w:rFonts w:cs="Times New Roman"/>
          <w:b/>
          <w:szCs w:val="24"/>
        </w:rPr>
        <w:t>CAMEROON</w:t>
      </w:r>
    </w:p>
    <w:p>
      <w:pPr>
        <w:pStyle w:val="style0"/>
        <w:spacing w:after="0"/>
        <w:rPr>
          <w:b/>
          <w:sz w:val="23"/>
          <w:szCs w:val="23"/>
        </w:rPr>
      </w:pPr>
    </w:p>
    <w:p>
      <w:pPr>
        <w:pStyle w:val="style0"/>
        <w:spacing w:after="0"/>
        <w:rPr>
          <w:b/>
        </w:rPr>
      </w:pPr>
      <w:r>
        <w:rPr>
          <w:b/>
        </w:rPr>
        <w:t>Corresponding author:</w:t>
      </w:r>
      <w:r>
        <w:rPr>
          <w:b/>
        </w:rPr>
        <w:t xml:space="preserve"> </w:t>
      </w:r>
      <w:r>
        <w:t>Billa Samuel Fru</w:t>
      </w:r>
      <w:r>
        <w:rPr>
          <w:b/>
        </w:rPr>
        <w:t>:</w:t>
      </w:r>
    </w:p>
    <w:p>
      <w:pPr>
        <w:pStyle w:val="style0"/>
        <w:spacing w:after="0"/>
        <w:rPr/>
      </w:pPr>
      <w:r>
        <w:t>University of Dschang, School of Agr</w:t>
      </w:r>
      <w:r>
        <w:t>onomy</w:t>
      </w:r>
      <w:r>
        <w:t xml:space="preserve"> and Environment</w:t>
      </w:r>
      <w:r>
        <w:t>al Management</w:t>
      </w:r>
      <w:r>
        <w:rPr>
          <w:b/>
        </w:rPr>
        <w:t xml:space="preserve"> / </w:t>
      </w:r>
      <w:r>
        <w:t>P.O. Box 222 Dschang, Cameroon</w:t>
      </w:r>
      <w:r>
        <w:rPr>
          <w:b/>
        </w:rPr>
        <w:t xml:space="preserve"> / </w:t>
      </w:r>
      <w:r>
        <w:t>Telephone: (+237) 653 470 712 / Fax: 233 451 381</w:t>
      </w:r>
      <w:r>
        <w:rPr>
          <w:b/>
        </w:rPr>
        <w:t xml:space="preserve"> / </w:t>
      </w:r>
      <w:r>
        <w:t xml:space="preserve">Email: sammybilla98@gmail.com </w:t>
      </w:r>
    </w:p>
    <w:p>
      <w:pPr>
        <w:pStyle w:val="style0"/>
        <w:spacing w:after="0"/>
        <w:rPr>
          <w:rFonts w:cs="Times New Roman"/>
          <w:b/>
          <w:szCs w:val="24"/>
        </w:rPr>
      </w:pPr>
    </w:p>
    <w:p>
      <w:pPr>
        <w:pStyle w:val="style0"/>
        <w:spacing w:after="0"/>
        <w:rPr/>
      </w:pPr>
      <w:r>
        <w:rPr>
          <w:rFonts w:cs="Times New Roman"/>
          <w:b/>
          <w:szCs w:val="24"/>
        </w:rPr>
        <w:t xml:space="preserve">Abstract </w:t>
      </w:r>
    </w:p>
    <w:p>
      <w:pPr>
        <w:pStyle w:val="style0"/>
        <w:rPr>
          <w:rFonts w:cs="Times New Roman"/>
          <w:szCs w:val="24"/>
        </w:rPr>
      </w:pPr>
      <w:r>
        <w:rPr>
          <w:rFonts w:cs="Times New Roman"/>
          <w:szCs w:val="24"/>
        </w:rPr>
        <w:t>The importance of vegetable cultivation in improving smallholder farming</w:t>
      </w:r>
      <w:r>
        <w:rPr>
          <w:rFonts w:cs="Times New Roman"/>
          <w:szCs w:val="24"/>
        </w:rPr>
        <w:t xml:space="preserve"> income and eradication of malnutrition is often counteracted by declining soil fertility. </w:t>
      </w:r>
      <w:r>
        <w:rPr>
          <w:rFonts w:cs="Times New Roman"/>
          <w:szCs w:val="24"/>
        </w:rPr>
        <w:t xml:space="preserve">Sorghum crop residues </w:t>
      </w:r>
      <w:r>
        <w:rPr>
          <w:rFonts w:cs="Times New Roman"/>
          <w:color w:val="000000"/>
          <w:szCs w:val="24"/>
        </w:rPr>
        <w:t>are</w:t>
      </w:r>
      <w:r>
        <w:rPr>
          <w:rFonts w:cs="Times New Roman"/>
          <w:color w:val="000000"/>
          <w:szCs w:val="24"/>
        </w:rPr>
        <w:t xml:space="preserve"> </w:t>
      </w:r>
      <w:r>
        <w:rPr>
          <w:rFonts w:cs="Times New Roman"/>
          <w:color w:val="000000"/>
          <w:szCs w:val="24"/>
        </w:rPr>
        <w:t xml:space="preserve">available </w:t>
      </w:r>
      <w:r>
        <w:rPr>
          <w:rFonts w:cs="Times New Roman"/>
          <w:color w:val="000000"/>
          <w:szCs w:val="24"/>
        </w:rPr>
        <w:t>in large</w:t>
      </w:r>
      <w:r>
        <w:rPr>
          <w:rFonts w:cs="Times New Roman"/>
          <w:color w:val="000000"/>
          <w:szCs w:val="24"/>
        </w:rPr>
        <w:t xml:space="preserve"> </w:t>
      </w:r>
      <w:r>
        <w:rPr>
          <w:rFonts w:cs="Times New Roman"/>
          <w:color w:val="000000"/>
          <w:szCs w:val="24"/>
        </w:rPr>
        <w:t>quantities around</w:t>
      </w:r>
      <w:r>
        <w:rPr>
          <w:rFonts w:cs="Times New Roman"/>
          <w:color w:val="000000"/>
          <w:szCs w:val="24"/>
        </w:rPr>
        <w:t xml:space="preserve"> processing</w:t>
      </w:r>
      <w:r>
        <w:rPr>
          <w:rFonts w:cs="Times New Roman"/>
          <w:color w:val="000000"/>
          <w:szCs w:val="24"/>
        </w:rPr>
        <w:t xml:space="preserve"> mills where it is </w:t>
      </w:r>
      <w:r>
        <w:rPr>
          <w:rFonts w:cs="Times New Roman"/>
          <w:color w:val="000000"/>
          <w:szCs w:val="24"/>
        </w:rPr>
        <w:t>openly burned</w:t>
      </w:r>
      <w:r>
        <w:rPr>
          <w:rFonts w:cs="Times New Roman"/>
          <w:color w:val="000000"/>
          <w:szCs w:val="24"/>
        </w:rPr>
        <w:t xml:space="preserve"> </w:t>
      </w:r>
      <w:r>
        <w:rPr>
          <w:rFonts w:cs="Times New Roman"/>
          <w:color w:val="000000"/>
          <w:szCs w:val="24"/>
        </w:rPr>
        <w:t>or abandoned to rot naturally</w:t>
      </w:r>
      <w:r>
        <w:rPr>
          <w:rFonts w:cs="Times New Roman"/>
          <w:color w:val="000000"/>
          <w:szCs w:val="24"/>
        </w:rPr>
        <w:t>.</w:t>
      </w:r>
      <w:r>
        <w:rPr>
          <w:rFonts w:cs="Times New Roman"/>
          <w:color w:val="000000"/>
          <w:szCs w:val="24"/>
        </w:rPr>
        <w:t xml:space="preserve"> </w:t>
      </w:r>
      <w:r>
        <w:rPr>
          <w:rFonts w:cs="Times New Roman"/>
          <w:szCs w:val="24"/>
        </w:rPr>
        <w:t xml:space="preserve">This often causes negative externalities in many urban and peri-urban farming systems of Africa, threatening human and environmental health. </w:t>
      </w:r>
      <w:r>
        <w:rPr>
          <w:rFonts w:cs="Times New Roman"/>
          <w:szCs w:val="24"/>
        </w:rPr>
        <w:t>This study was conducted to assess the effect of b</w:t>
      </w:r>
      <w:r>
        <w:rPr>
          <w:rFonts w:cs="Times New Roman"/>
          <w:szCs w:val="24"/>
        </w:rPr>
        <w:t>iochar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(</w:t>
      </w:r>
      <w:r>
        <w:rPr>
          <w:rFonts w:cs="Times New Roman"/>
          <w:szCs w:val="24"/>
        </w:rPr>
        <w:t>a c</w:t>
      </w:r>
      <w:r>
        <w:rPr>
          <w:rFonts w:cs="Times New Roman"/>
          <w:szCs w:val="24"/>
        </w:rPr>
        <w:t>arbon rich compound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produced by pyrolysis (thermal decomposition) of waste plant biomass under controlled low-oxygen condition</w:t>
      </w:r>
      <w:r>
        <w:rPr>
          <w:rFonts w:cs="Times New Roman"/>
          <w:szCs w:val="24"/>
        </w:rPr>
        <w:t>)</w:t>
      </w:r>
      <w:r>
        <w:rPr>
          <w:rFonts w:cs="Times New Roman"/>
          <w:szCs w:val="24"/>
        </w:rPr>
        <w:t xml:space="preserve"> on the growth and yield of </w:t>
      </w:r>
      <w:r>
        <w:rPr>
          <w:rFonts w:cs="Times New Roman"/>
          <w:szCs w:val="24"/>
        </w:rPr>
        <w:t>amaranth.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>
      <w:pPr>
        <w:pStyle w:val="style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</w:t>
      </w:r>
      <w:r>
        <w:rPr>
          <w:rFonts w:cs="Times New Roman"/>
          <w:szCs w:val="24"/>
        </w:rPr>
        <w:t xml:space="preserve">pot experiment was carried out </w:t>
      </w:r>
      <w:r>
        <w:rPr>
          <w:rFonts w:cs="Times New Roman"/>
          <w:color w:val="000000"/>
          <w:szCs w:val="24"/>
        </w:rPr>
        <w:t>during the 201</w:t>
      </w:r>
      <w:r>
        <w:rPr>
          <w:rFonts w:cs="Times New Roman"/>
          <w:color w:val="000000"/>
          <w:szCs w:val="24"/>
        </w:rPr>
        <w:t>16/17</w:t>
      </w:r>
      <w:r>
        <w:rPr>
          <w:rFonts w:cs="Times New Roman"/>
          <w:color w:val="000000"/>
          <w:szCs w:val="24"/>
        </w:rPr>
        <w:t xml:space="preserve"> cropping season at</w:t>
      </w:r>
      <w:r>
        <w:rPr>
          <w:rFonts w:cs="Times New Roman"/>
          <w:color w:val="000000"/>
          <w:szCs w:val="24"/>
        </w:rPr>
        <w:t xml:space="preserve"> Nkolbisson </w:t>
      </w:r>
      <w:r>
        <w:rPr>
          <w:rFonts w:cs="Times New Roman"/>
          <w:color w:val="000000"/>
          <w:szCs w:val="24"/>
        </w:rPr>
        <w:t xml:space="preserve">located in the Humid forest agroecolocal </w:t>
      </w:r>
      <w:r>
        <w:rPr>
          <w:rFonts w:cs="Times New Roman"/>
          <w:color w:val="000000"/>
          <w:szCs w:val="24"/>
        </w:rPr>
        <w:t>z</w:t>
      </w:r>
      <w:r>
        <w:rPr>
          <w:rFonts w:cs="Times New Roman"/>
          <w:color w:val="000000"/>
          <w:szCs w:val="24"/>
        </w:rPr>
        <w:t xml:space="preserve">one of Cameron. </w:t>
      </w:r>
      <w:r>
        <w:rPr>
          <w:rFonts w:cs="Times New Roman"/>
          <w:szCs w:val="24"/>
        </w:rPr>
        <w:t>S</w:t>
      </w:r>
      <w:r>
        <w:rPr>
          <w:rFonts w:cs="Times New Roman"/>
          <w:szCs w:val="24"/>
        </w:rPr>
        <w:t>orghum</w:t>
      </w:r>
      <w:r>
        <w:rPr>
          <w:rFonts w:cs="Times New Roman"/>
          <w:szCs w:val="24"/>
        </w:rPr>
        <w:t xml:space="preserve"> biochar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was produced</w:t>
      </w:r>
      <w:r>
        <w:rPr>
          <w:rFonts w:cs="Times New Roman"/>
          <w:szCs w:val="24"/>
        </w:rPr>
        <w:t xml:space="preserve"> using an Elsa Barrel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pyrolysis technology </w:t>
      </w:r>
      <w:r>
        <w:rPr>
          <w:rFonts w:cs="Times New Roman"/>
          <w:color w:val="000000"/>
          <w:szCs w:val="24"/>
        </w:rPr>
        <w:t>and</w:t>
      </w:r>
      <w:r>
        <w:rPr>
          <w:rFonts w:cs="Times New Roman"/>
          <w:color w:val="000000"/>
          <w:szCs w:val="24"/>
        </w:rPr>
        <w:t xml:space="preserve"> applied at </w:t>
      </w:r>
      <w:r>
        <w:rPr>
          <w:rFonts w:cs="Times New Roman"/>
          <w:color w:val="000000"/>
          <w:szCs w:val="24"/>
        </w:rPr>
        <w:t xml:space="preserve">rates of </w:t>
      </w:r>
      <w:r>
        <w:rPr>
          <w:rFonts w:cs="Times New Roman"/>
          <w:color w:val="000000"/>
          <w:szCs w:val="24"/>
        </w:rPr>
        <w:t>(</w:t>
      </w:r>
      <w:r>
        <w:rPr>
          <w:rFonts w:cs="Times New Roman"/>
          <w:color w:val="000000"/>
          <w:szCs w:val="24"/>
        </w:rPr>
        <w:t>0, 10</w:t>
      </w:r>
      <w:r>
        <w:rPr>
          <w:rFonts w:cs="Times New Roman"/>
          <w:color w:val="000000"/>
          <w:szCs w:val="24"/>
        </w:rPr>
        <w:t xml:space="preserve">, </w:t>
      </w:r>
      <w:r>
        <w:rPr>
          <w:rFonts w:cs="Times New Roman"/>
          <w:color w:val="000000"/>
          <w:szCs w:val="24"/>
        </w:rPr>
        <w:t>20</w:t>
      </w:r>
      <w:r>
        <w:rPr>
          <w:rFonts w:cs="Times New Roman"/>
          <w:color w:val="000000"/>
          <w:szCs w:val="24"/>
        </w:rPr>
        <w:t xml:space="preserve"> and </w:t>
      </w:r>
      <w:r>
        <w:rPr>
          <w:rFonts w:cs="Times New Roman"/>
          <w:color w:val="000000"/>
          <w:szCs w:val="24"/>
        </w:rPr>
        <w:t xml:space="preserve">30 t/ha) </w:t>
      </w:r>
      <w:r>
        <w:rPr>
          <w:rFonts w:cs="Times New Roman"/>
          <w:color w:val="000000"/>
          <w:szCs w:val="24"/>
        </w:rPr>
        <w:t xml:space="preserve">with half NKP 20:10:10 </w:t>
      </w:r>
      <w:r>
        <w:rPr>
          <w:rFonts w:cs="Times New Roman"/>
          <w:color w:val="000000"/>
          <w:szCs w:val="24"/>
        </w:rPr>
        <w:t>r</w:t>
      </w:r>
      <w:r>
        <w:rPr>
          <w:rFonts w:cs="Times New Roman"/>
          <w:color w:val="000000"/>
          <w:szCs w:val="24"/>
        </w:rPr>
        <w:t>eplicated three times</w:t>
      </w:r>
      <w:r>
        <w:rPr>
          <w:rFonts w:cs="Times New Roman"/>
          <w:color w:val="000000"/>
          <w:szCs w:val="24"/>
        </w:rPr>
        <w:t xml:space="preserve"> in</w:t>
      </w:r>
      <w:r>
        <w:rPr>
          <w:rFonts w:cs="Times New Roman"/>
          <w:color w:val="000000"/>
          <w:szCs w:val="24"/>
        </w:rPr>
        <w:t xml:space="preserve"> a complete</w:t>
      </w:r>
      <w:r>
        <w:rPr>
          <w:rFonts w:cs="Times New Roman"/>
          <w:color w:val="000000"/>
          <w:szCs w:val="24"/>
        </w:rPr>
        <w:t xml:space="preserve"> </w:t>
      </w:r>
      <w:r>
        <w:rPr>
          <w:rFonts w:cs="Times New Roman"/>
          <w:color w:val="000000"/>
          <w:szCs w:val="24"/>
        </w:rPr>
        <w:t xml:space="preserve">randomized </w:t>
      </w:r>
      <w:r>
        <w:rPr>
          <w:rFonts w:cs="Times New Roman"/>
          <w:color w:val="000000"/>
          <w:szCs w:val="24"/>
        </w:rPr>
        <w:t>design</w:t>
      </w:r>
      <w:r>
        <w:rPr>
          <w:rFonts w:cs="Times New Roman"/>
          <w:color w:val="000000"/>
          <w:szCs w:val="24"/>
        </w:rPr>
        <w:t>.</w:t>
      </w:r>
      <w:r>
        <w:rPr>
          <w:rFonts w:ascii="Calibri" w:cs="Calibri" w:hAnsi="Calibri"/>
          <w:color w:val="000000"/>
          <w:szCs w:val="24"/>
        </w:rPr>
        <w:t xml:space="preserve">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>
      <w:pPr>
        <w:pStyle w:val="style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results obtained showed that </w:t>
      </w:r>
      <w:r>
        <w:rPr>
          <w:rFonts w:cs="Times New Roman"/>
          <w:szCs w:val="24"/>
        </w:rPr>
        <w:t xml:space="preserve">sorghum </w:t>
      </w:r>
      <w:r>
        <w:rPr>
          <w:rFonts w:cs="Times New Roman"/>
          <w:szCs w:val="24"/>
        </w:rPr>
        <w:t>biochar had a high</w:t>
      </w:r>
      <w:r>
        <w:rPr>
          <w:rFonts w:cs="Times New Roman"/>
          <w:szCs w:val="24"/>
        </w:rPr>
        <w:t xml:space="preserve"> organic matter</w:t>
      </w:r>
      <w:r>
        <w:rPr>
          <w:rFonts w:cs="Times New Roman"/>
          <w:szCs w:val="24"/>
        </w:rPr>
        <w:t xml:space="preserve"> (56.47</w:t>
      </w:r>
      <w:r>
        <w:rPr>
          <w:rFonts w:cs="Times New Roman"/>
          <w:szCs w:val="24"/>
        </w:rPr>
        <w:t xml:space="preserve"> g</w:t>
      </w:r>
      <w:r>
        <w:rPr>
          <w:rFonts w:cs="Times New Roman"/>
          <w:szCs w:val="24"/>
        </w:rPr>
        <w:t>.kg)</w:t>
      </w:r>
      <w:r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total nitrogen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(</w:t>
      </w:r>
      <w:r>
        <w:rPr>
          <w:rFonts w:cs="Times New Roman"/>
          <w:szCs w:val="24"/>
        </w:rPr>
        <w:t>3.5</w:t>
      </w:r>
      <w:r>
        <w:rPr>
          <w:rFonts w:cs="Times New Roman"/>
          <w:szCs w:val="24"/>
        </w:rPr>
        <w:t xml:space="preserve"> g.k</w:t>
      </w:r>
      <w:r>
        <w:rPr>
          <w:rFonts w:cs="Times New Roman"/>
          <w:szCs w:val="24"/>
        </w:rPr>
        <w:t>g</w:t>
      </w:r>
      <w:r>
        <w:rPr>
          <w:rFonts w:cs="Times New Roman"/>
          <w:szCs w:val="24"/>
        </w:rPr>
        <w:t>)</w:t>
      </w:r>
      <w:r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pH (7.</w:t>
      </w:r>
      <w:r>
        <w:rPr>
          <w:rFonts w:cs="Times New Roman"/>
          <w:szCs w:val="24"/>
        </w:rPr>
        <w:t>6</w:t>
      </w:r>
      <w:r>
        <w:rPr>
          <w:rFonts w:cs="Times New Roman"/>
          <w:szCs w:val="24"/>
        </w:rPr>
        <w:t>3</w:t>
      </w:r>
      <w:r>
        <w:rPr>
          <w:rFonts w:cs="Times New Roman"/>
          <w:szCs w:val="24"/>
        </w:rPr>
        <w:t>), and CEC</w:t>
      </w:r>
      <w:r>
        <w:rPr>
          <w:rFonts w:cs="Times New Roman"/>
          <w:szCs w:val="24"/>
        </w:rPr>
        <w:t xml:space="preserve"> (14.23</w:t>
      </w:r>
      <w:r>
        <w:rPr>
          <w:rFonts w:cs="Times New Roman"/>
          <w:szCs w:val="24"/>
        </w:rPr>
        <w:t xml:space="preserve"> c</w:t>
      </w:r>
      <w:r>
        <w:rPr>
          <w:rFonts w:cs="Times New Roman"/>
          <w:szCs w:val="24"/>
        </w:rPr>
        <w:t>mol.kg)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than </w:t>
      </w:r>
      <w:r>
        <w:rPr>
          <w:rFonts w:cs="Times New Roman"/>
          <w:szCs w:val="24"/>
        </w:rPr>
        <w:t xml:space="preserve">the </w:t>
      </w:r>
      <w:r>
        <w:rPr>
          <w:rFonts w:cs="Times New Roman"/>
          <w:szCs w:val="24"/>
        </w:rPr>
        <w:t>surrounding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acidic </w:t>
      </w:r>
      <w:r>
        <w:rPr>
          <w:rFonts w:cs="Times New Roman"/>
          <w:szCs w:val="24"/>
        </w:rPr>
        <w:t xml:space="preserve">soil </w:t>
      </w:r>
      <w:r>
        <w:rPr>
          <w:rFonts w:cs="Times New Roman"/>
          <w:szCs w:val="24"/>
        </w:rPr>
        <w:t xml:space="preserve">pH </w:t>
      </w:r>
      <w:r>
        <w:rPr>
          <w:rFonts w:cs="Times New Roman"/>
          <w:szCs w:val="24"/>
        </w:rPr>
        <w:t>(</w:t>
      </w:r>
      <w:r>
        <w:rPr>
          <w:rFonts w:cs="Times New Roman"/>
          <w:szCs w:val="24"/>
        </w:rPr>
        <w:t>5.</w:t>
      </w:r>
      <w:r>
        <w:rPr>
          <w:rFonts w:cs="Times New Roman"/>
          <w:szCs w:val="24"/>
        </w:rPr>
        <w:t>6</w:t>
      </w:r>
      <w:r>
        <w:rPr>
          <w:rFonts w:cs="Times New Roman"/>
          <w:szCs w:val="24"/>
        </w:rPr>
        <w:t xml:space="preserve">). </w:t>
      </w:r>
      <w:r>
        <w:rPr>
          <w:rFonts w:cs="Times New Roman"/>
          <w:szCs w:val="24"/>
        </w:rPr>
        <w:t>Plant height, number of leaves</w:t>
      </w:r>
      <w:r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leaf area index, and yield </w:t>
      </w:r>
      <w:r>
        <w:rPr>
          <w:rFonts w:cs="Times New Roman"/>
          <w:szCs w:val="24"/>
        </w:rPr>
        <w:t xml:space="preserve">increased with increasing sorghum biochar </w:t>
      </w:r>
      <w:r>
        <w:rPr>
          <w:rFonts w:cs="Times New Roman"/>
          <w:szCs w:val="24"/>
        </w:rPr>
        <w:t>application rates.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Similarly</w:t>
      </w:r>
      <w:bookmarkStart w:id="0" w:name="_GoBack"/>
      <w:bookmarkEnd w:id="0"/>
      <w:r>
        <w:rPr>
          <w:rFonts w:cs="Times New Roman"/>
          <w:szCs w:val="24"/>
        </w:rPr>
        <w:t xml:space="preserve"> the </w:t>
      </w:r>
      <w:r>
        <w:rPr>
          <w:rFonts w:cs="Times New Roman"/>
          <w:szCs w:val="24"/>
        </w:rPr>
        <w:t xml:space="preserve">total </w:t>
      </w:r>
      <w:r>
        <w:rPr>
          <w:rFonts w:cs="Times New Roman"/>
          <w:szCs w:val="24"/>
        </w:rPr>
        <w:t xml:space="preserve">C </w:t>
      </w:r>
      <w:r>
        <w:rPr>
          <w:rFonts w:cs="Times New Roman"/>
          <w:szCs w:val="24"/>
        </w:rPr>
        <w:t xml:space="preserve">(54.67 g.kg) </w:t>
      </w:r>
      <w:r>
        <w:rPr>
          <w:rFonts w:cs="Times New Roman"/>
          <w:szCs w:val="24"/>
        </w:rPr>
        <w:t xml:space="preserve">and N </w:t>
      </w:r>
      <w:r>
        <w:rPr>
          <w:rFonts w:cs="Times New Roman"/>
          <w:szCs w:val="24"/>
        </w:rPr>
        <w:t xml:space="preserve">(8.45 g.kg) </w:t>
      </w:r>
      <w:r>
        <w:rPr>
          <w:rFonts w:cs="Times New Roman"/>
          <w:szCs w:val="24"/>
        </w:rPr>
        <w:t xml:space="preserve">uptake of </w:t>
      </w:r>
      <w:r>
        <w:rPr>
          <w:rFonts w:cs="Times New Roman"/>
          <w:szCs w:val="24"/>
        </w:rPr>
        <w:t>amarantus</w:t>
      </w:r>
      <w:r>
        <w:rPr>
          <w:rFonts w:cs="Times New Roman"/>
          <w:szCs w:val="24"/>
        </w:rPr>
        <w:t xml:space="preserve"> was high</w:t>
      </w:r>
      <w:r>
        <w:rPr>
          <w:rFonts w:cs="Times New Roman"/>
          <w:szCs w:val="24"/>
        </w:rPr>
        <w:t>est</w:t>
      </w:r>
      <w:r>
        <w:rPr>
          <w:rFonts w:cs="Times New Roman"/>
          <w:szCs w:val="24"/>
        </w:rPr>
        <w:t xml:space="preserve"> with </w:t>
      </w:r>
      <w:r>
        <w:rPr>
          <w:rFonts w:cs="Times New Roman"/>
          <w:szCs w:val="24"/>
        </w:rPr>
        <w:t>sorghum</w:t>
      </w:r>
      <w:r>
        <w:rPr>
          <w:rFonts w:cs="Times New Roman"/>
          <w:szCs w:val="24"/>
        </w:rPr>
        <w:t xml:space="preserve"> biochar </w:t>
      </w:r>
      <w:r>
        <w:rPr>
          <w:rFonts w:cs="Times New Roman"/>
          <w:szCs w:val="24"/>
        </w:rPr>
        <w:t>applied at 30t</w:t>
      </w:r>
      <w:r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ha </w:t>
      </w:r>
      <w:r>
        <w:rPr>
          <w:rFonts w:cs="Times New Roman"/>
          <w:szCs w:val="24"/>
        </w:rPr>
        <w:t>compared to the other</w:t>
      </w:r>
      <w:r>
        <w:rPr>
          <w:rFonts w:cs="Times New Roman"/>
          <w:szCs w:val="24"/>
        </w:rPr>
        <w:t xml:space="preserve"> application rates.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The</w:t>
      </w:r>
      <w:r>
        <w:rPr>
          <w:rFonts w:cs="Times New Roman"/>
          <w:szCs w:val="24"/>
        </w:rPr>
        <w:t xml:space="preserve"> add</w:t>
      </w:r>
      <w:r>
        <w:rPr>
          <w:rFonts w:cs="Times New Roman"/>
          <w:szCs w:val="24"/>
        </w:rPr>
        <w:t>ition of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sorghum </w:t>
      </w:r>
      <w:r>
        <w:rPr>
          <w:rFonts w:cs="Times New Roman"/>
          <w:szCs w:val="24"/>
        </w:rPr>
        <w:t xml:space="preserve">biochar to </w:t>
      </w:r>
      <w:r>
        <w:rPr>
          <w:rFonts w:cs="Times New Roman"/>
          <w:szCs w:val="24"/>
        </w:rPr>
        <w:t>the p</w:t>
      </w:r>
      <w:r>
        <w:rPr>
          <w:rFonts w:cs="Times New Roman"/>
          <w:szCs w:val="24"/>
        </w:rPr>
        <w:t>oor and acidic soil</w:t>
      </w:r>
      <w:r>
        <w:rPr>
          <w:rFonts w:cs="Times New Roman"/>
          <w:szCs w:val="24"/>
        </w:rPr>
        <w:t xml:space="preserve"> possibly </w:t>
      </w:r>
      <w:r>
        <w:rPr>
          <w:rFonts w:cs="Times New Roman"/>
          <w:szCs w:val="24"/>
        </w:rPr>
        <w:t>increase</w:t>
      </w:r>
      <w:r>
        <w:rPr>
          <w:rFonts w:cs="Times New Roman"/>
          <w:szCs w:val="24"/>
        </w:rPr>
        <w:t>d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soil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fertility attributes (soil </w:t>
      </w:r>
      <w:r>
        <w:rPr>
          <w:rFonts w:cs="Times New Roman"/>
          <w:szCs w:val="24"/>
        </w:rPr>
        <w:t>pH</w:t>
      </w:r>
      <w:r>
        <w:rPr>
          <w:rFonts w:cs="Times New Roman"/>
          <w:szCs w:val="24"/>
        </w:rPr>
        <w:t>, SOM, N</w:t>
      </w:r>
      <w:r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available P and CE</w:t>
      </w:r>
      <w:r>
        <w:rPr>
          <w:rFonts w:cs="Times New Roman"/>
          <w:szCs w:val="24"/>
        </w:rPr>
        <w:t xml:space="preserve">C </w:t>
      </w:r>
      <w:r>
        <w:rPr>
          <w:rFonts w:cs="Times New Roman"/>
          <w:szCs w:val="24"/>
        </w:rPr>
        <w:t>and hence am</w:t>
      </w:r>
      <w:r>
        <w:rPr>
          <w:rFonts w:cs="Times New Roman"/>
          <w:szCs w:val="24"/>
        </w:rPr>
        <w:t>ara</w:t>
      </w:r>
      <w:r>
        <w:rPr>
          <w:rFonts w:cs="Times New Roman"/>
          <w:szCs w:val="24"/>
        </w:rPr>
        <w:t>ntus yield</w:t>
      </w:r>
      <w:r>
        <w:rPr>
          <w:rFonts w:cs="Times New Roman"/>
          <w:szCs w:val="24"/>
        </w:rPr>
        <w:t xml:space="preserve">. </w:t>
      </w:r>
      <w:r>
        <w:rPr>
          <w:rFonts w:cs="Times New Roman"/>
          <w:szCs w:val="24"/>
        </w:rPr>
        <w:t xml:space="preserve">The study </w:t>
      </w:r>
      <w:r>
        <w:rPr>
          <w:rFonts w:cs="Times New Roman"/>
          <w:szCs w:val="24"/>
        </w:rPr>
        <w:t>conclude</w:t>
      </w:r>
      <w:r>
        <w:rPr>
          <w:rFonts w:cs="Times New Roman"/>
          <w:szCs w:val="24"/>
        </w:rPr>
        <w:t>s</w:t>
      </w:r>
      <w:r>
        <w:rPr>
          <w:rFonts w:cs="Times New Roman"/>
          <w:szCs w:val="24"/>
        </w:rPr>
        <w:t xml:space="preserve"> that biochar production could be useful in</w:t>
      </w:r>
      <w:r>
        <w:rPr>
          <w:rFonts w:cs="Times New Roman"/>
          <w:szCs w:val="24"/>
        </w:rPr>
        <w:t xml:space="preserve"> recycling </w:t>
      </w:r>
      <w:r>
        <w:rPr>
          <w:rFonts w:cs="Times New Roman"/>
          <w:szCs w:val="24"/>
        </w:rPr>
        <w:t xml:space="preserve">crop residues </w:t>
      </w:r>
      <w:r>
        <w:rPr>
          <w:rFonts w:cs="Times New Roman"/>
          <w:szCs w:val="24"/>
        </w:rPr>
        <w:t xml:space="preserve">such as sorghum </w:t>
      </w:r>
      <w:r>
        <w:rPr>
          <w:rFonts w:cs="Times New Roman"/>
          <w:szCs w:val="24"/>
        </w:rPr>
        <w:t xml:space="preserve">and biochar use is likely to enhance the productivity of </w:t>
      </w:r>
      <w:r>
        <w:rPr>
          <w:rFonts w:cs="Times New Roman"/>
          <w:szCs w:val="24"/>
        </w:rPr>
        <w:t>vegetable thereby improving food securit</w:t>
      </w:r>
      <w:r>
        <w:rPr>
          <w:rFonts w:cs="Times New Roman"/>
          <w:szCs w:val="24"/>
        </w:rPr>
        <w:t>y in the humid forest agroecological zone of Cameroon.</w:t>
      </w:r>
    </w:p>
    <w:p>
      <w:pPr>
        <w:pStyle w:val="style0"/>
        <w:rPr/>
      </w:pPr>
    </w:p>
    <w:p>
      <w:pPr>
        <w:pStyle w:val="style0"/>
        <w:rPr/>
      </w:pPr>
      <w:r>
        <w:rPr>
          <w:b/>
        </w:rPr>
        <w:t>Key words:</w:t>
      </w:r>
      <w:r>
        <w:rPr>
          <w:b/>
        </w:rPr>
        <w:t xml:space="preserve"> </w:t>
      </w:r>
      <w:r>
        <w:t xml:space="preserve">Biochar; Crop residues; </w:t>
      </w:r>
      <w:r>
        <w:t>Food Secu</w:t>
      </w:r>
      <w:r>
        <w:t>ity; S</w:t>
      </w:r>
      <w:r>
        <w:t>oil pH;</w:t>
      </w:r>
      <w:r>
        <w:t xml:space="preserve"> Sorghum</w:t>
      </w:r>
      <w:r>
        <w:t xml:space="preserve"> </w:t>
      </w:r>
    </w:p>
    <w:sectPr>
      <w:footerReference w:type="default" r:id="rId2"/>
      <w:pgSz w:w="12240" w:h="15840" w:orient="portrait"/>
      <w:pgMar w:top="1440" w:right="1440" w:bottom="144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m="http://schemas.openxmlformats.org/officeDocument/2006/math" xmlns:w14="http://schemas.microsoft.com/office/word/2010/wordml">
  <w:p>
    <w:pPr>
      <w:pStyle w:val="style32"/>
      <w:jc w:val="right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1</w:t>
    </w:r>
    <w:r>
      <w:rPr>
        <w:noProof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dit="none" w:enforcement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Times New Roman" w:cs="Times New Roman" w:eastAsia="Calibri" w:hAnsi="Times New Roman"/>
        <w:sz w:val="24"/>
        <w:szCs w:val="22"/>
        <w:lang w:val="en-US" w:bidi="ar-SA" w:eastAsia="en-US"/>
      </w:rPr>
    </w:rPrDefault>
    <w:pPrDefault>
      <w:pPr>
        <w:spacing w:lineRule="auto" w:line="480"/>
        <w:jc w:val="both"/>
      </w:pPr>
    </w:pPrDefault>
  </w:docDefaults>
  <w:style w:type="paragraph" w:default="1" w:styleId="style0">
    <w:name w:val="Normal"/>
    <w:next w:val="style0"/>
    <w:qFormat/>
    <w:pPr>
      <w:spacing w:after="200"/>
    </w:pPr>
    <w:rPr>
      <w:rFonts w:cs="宋体"/>
      <w:color w:val="00000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2">
    <w:name w:val="footer"/>
    <w:basedOn w:val="style0"/>
    <w:next w:val="style32"/>
    <w:link w:val="style4097"/>
    <w:uiPriority w:val="99"/>
    <w:pPr>
      <w:tabs>
        <w:tab w:val="center" w:leader="none" w:pos="4536"/>
        <w:tab w:val="right" w:leader="none" w:pos="9072"/>
      </w:tabs>
      <w:spacing w:after="0" w:lineRule="auto" w:line="240"/>
    </w:pPr>
    <w:rPr/>
  </w:style>
  <w:style w:type="character" w:customStyle="1" w:styleId="style4097">
    <w:name w:val="Footer Char_7e99bf11-c506-43cd-acd1-3a6b9db2167e"/>
    <w:basedOn w:val="style65"/>
    <w:next w:val="style4097"/>
    <w:link w:val="style32"/>
    <w:uiPriority w:val="99"/>
    <w:rPr>
      <w:rFonts w:cs="宋体"/>
      <w:color w:val="000000"/>
    </w:rPr>
  </w:style>
  <w:style w:type="character" w:styleId="style40">
    <w:name w:val="line number"/>
    <w:basedOn w:val="style65"/>
    <w:next w:val="style40"/>
    <w:uiPriority w:val="99"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footer" Target="footer1.xml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Words>348</Words>
  <Characters>1943</Characters>
  <Application>WPS Office</Application>
  <DocSecurity>0</DocSecurity>
  <Paragraphs>15</Paragraphs>
  <ScaleCrop>false</ScaleCrop>
  <LinksUpToDate>false</LinksUpToDate>
  <CharactersWithSpaces>2296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2017-11-22T16:49:17Z</dcterms:created>
  <dc:creator>bi</dc:creator>
  <lastModifiedBy>TECNO L9</lastModifiedBy>
  <dcterms:modified xsi:type="dcterms:W3CDTF">2017-11-22T16:54:15Z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