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ascii="Arial"/>
          <w:sz w:val="20"/>
        </w:rPr>
      </w:pPr>
      <w:r>
        <w:rPr>
          <w:rFonts w:hint="eastAsia"/>
          <w:color w:val="337AB7"/>
        </w:rPr>
        <w:t xml:space="preserve">The </w:t>
      </w:r>
      <w:bookmarkStart w:id="0" w:name="OLE_LINK3"/>
      <w:r>
        <w:rPr>
          <w:rFonts w:hint="eastAsia"/>
          <w:color w:val="337AB7"/>
        </w:rPr>
        <w:t>bibliometric based analysis</w:t>
      </w:r>
      <w:bookmarkEnd w:id="0"/>
      <w:r>
        <w:rPr>
          <w:rFonts w:hint="eastAsia"/>
          <w:color w:val="337AB7"/>
        </w:rPr>
        <w:t xml:space="preserve"> of risk assessment of alien invasive </w:t>
      </w:r>
      <w:r>
        <w:rPr>
          <w:rFonts w:hint="eastAsia" w:eastAsia="宋体"/>
          <w:color w:val="337AB7"/>
          <w:lang w:val="en-US" w:eastAsia="zh-CN"/>
        </w:rPr>
        <w:t>insects</w:t>
      </w:r>
      <w:r>
        <w:rPr>
          <w:rFonts w:hint="eastAsia"/>
          <w:color w:val="337AB7"/>
        </w:rPr>
        <w:t xml:space="preserve"> from 2007 to 2017</w:t>
      </w:r>
    </w:p>
    <w:p>
      <w:pPr>
        <w:pStyle w:val="5"/>
        <w:rPr>
          <w:rFonts w:hint="eastAsia" w:ascii="Arial" w:eastAsia="宋体"/>
          <w:lang w:val="en-US" w:eastAsia="zh-CN"/>
        </w:rPr>
      </w:pPr>
      <w:r>
        <w:rPr>
          <w:rFonts w:hint="eastAsia" w:ascii="Arial" w:eastAsia="宋体"/>
          <w:lang w:val="en-US" w:eastAsia="zh-CN"/>
        </w:rPr>
        <w:t>Cong Wang, Agri.</w:t>
      </w:r>
      <w:r>
        <w:rPr>
          <w:rFonts w:ascii="Arial"/>
        </w:rPr>
        <w:t xml:space="preserve"> </w:t>
      </w:r>
      <w:r>
        <w:rPr>
          <w:rFonts w:hint="eastAsia" w:ascii="Arial" w:eastAsia="宋体"/>
          <w:lang w:val="en-US" w:eastAsia="zh-CN"/>
        </w:rPr>
        <w:t>Ent M.Sc, Institute of Beneficial Insects</w:t>
      </w:r>
      <w:r>
        <w:rPr>
          <w:rFonts w:ascii="Arial"/>
        </w:rPr>
        <w:t>,</w:t>
      </w:r>
      <w:r>
        <w:rPr>
          <w:rFonts w:hint="eastAsia" w:ascii="Arial" w:eastAsia="宋体"/>
          <w:lang w:val="en-US" w:eastAsia="zh-CN"/>
        </w:rPr>
        <w:t>Fujian Agriculture and Forestry University,China</w:t>
      </w:r>
    </w:p>
    <w:p>
      <w:pPr>
        <w:pStyle w:val="5"/>
        <w:rPr>
          <w:rFonts w:hint="eastAsia" w:ascii="Arial" w:eastAsia="宋体"/>
          <w:lang w:val="en-US" w:eastAsia="zh-CN"/>
        </w:rPr>
      </w:pPr>
      <w:r>
        <w:rPr>
          <w:rFonts w:hint="eastAsia" w:ascii="Arial" w:eastAsia="宋体"/>
          <w:lang w:val="en-US" w:eastAsia="zh-CN"/>
        </w:rPr>
        <w:t>Pumo Cai</w:t>
      </w:r>
      <w:r>
        <w:rPr>
          <w:rFonts w:ascii="Arial"/>
        </w:rPr>
        <w:t>,</w:t>
      </w:r>
      <w:r>
        <w:rPr>
          <w:rFonts w:hint="eastAsia" w:ascii="Arial" w:eastAsia="宋体"/>
          <w:lang w:val="en-US" w:eastAsia="zh-CN"/>
        </w:rPr>
        <w:t xml:space="preserve"> Agri.</w:t>
      </w:r>
      <w:r>
        <w:rPr>
          <w:rFonts w:ascii="Arial"/>
        </w:rPr>
        <w:t xml:space="preserve"> </w:t>
      </w:r>
      <w:r>
        <w:rPr>
          <w:rFonts w:hint="eastAsia" w:ascii="Arial" w:eastAsia="宋体"/>
          <w:lang w:val="en-US" w:eastAsia="zh-CN"/>
        </w:rPr>
        <w:t xml:space="preserve">Ent </w:t>
      </w:r>
      <w:r>
        <w:rPr>
          <w:rFonts w:ascii="Arial"/>
        </w:rPr>
        <w:t xml:space="preserve">PhD, </w:t>
      </w:r>
      <w:bookmarkStart w:id="1" w:name="OLE_LINK1"/>
      <w:r>
        <w:rPr>
          <w:rFonts w:hint="eastAsia" w:ascii="Arial" w:eastAsia="宋体"/>
          <w:lang w:val="en-US" w:eastAsia="zh-CN"/>
        </w:rPr>
        <w:t>Institute of Beneficial Insects</w:t>
      </w:r>
      <w:r>
        <w:rPr>
          <w:rFonts w:ascii="Arial"/>
        </w:rPr>
        <w:t>,</w:t>
      </w:r>
      <w:bookmarkEnd w:id="1"/>
      <w:r>
        <w:rPr>
          <w:rFonts w:ascii="Arial"/>
        </w:rPr>
        <w:t xml:space="preserve"> </w:t>
      </w:r>
      <w:r>
        <w:rPr>
          <w:rFonts w:hint="eastAsia" w:ascii="Arial" w:eastAsia="宋体"/>
          <w:lang w:val="en-US" w:eastAsia="zh-CN"/>
        </w:rPr>
        <w:t xml:space="preserve">Fujian  Agriculture and Forestry University, China </w:t>
      </w:r>
    </w:p>
    <w:p>
      <w:pPr>
        <w:pStyle w:val="5"/>
        <w:rPr>
          <w:rFonts w:hint="eastAsia" w:ascii="Arial" w:eastAsia="宋体"/>
          <w:lang w:val="en-US" w:eastAsia="zh-CN"/>
        </w:rPr>
      </w:pPr>
      <w:r>
        <w:rPr>
          <w:rFonts w:hint="eastAsia" w:ascii="Arial" w:eastAsia="宋体"/>
          <w:lang w:val="en-US" w:eastAsia="zh-CN"/>
        </w:rPr>
        <w:t>Yanchuan Yang, Agri.</w:t>
      </w:r>
      <w:r>
        <w:rPr>
          <w:rFonts w:ascii="Arial"/>
        </w:rPr>
        <w:t xml:space="preserve"> </w:t>
      </w:r>
      <w:r>
        <w:rPr>
          <w:rFonts w:hint="eastAsia" w:ascii="Arial" w:eastAsia="宋体"/>
          <w:lang w:val="en-US" w:eastAsia="zh-CN"/>
        </w:rPr>
        <w:t>Ent M.Sc, Institute of Beneficial Insects</w:t>
      </w:r>
      <w:r>
        <w:rPr>
          <w:rFonts w:ascii="Arial"/>
        </w:rPr>
        <w:t>,</w:t>
      </w:r>
      <w:r>
        <w:rPr>
          <w:rFonts w:hint="eastAsia" w:ascii="Arial" w:eastAsia="宋体"/>
          <w:lang w:val="en-US" w:eastAsia="zh-CN"/>
        </w:rPr>
        <w:t>Fujian Agriculture and Forestry University,China</w:t>
      </w:r>
    </w:p>
    <w:p>
      <w:pPr>
        <w:pStyle w:val="5"/>
        <w:rPr>
          <w:rFonts w:hint="eastAsia" w:ascii="Arial" w:eastAsia="宋体"/>
          <w:lang w:val="en-US" w:eastAsia="zh-CN"/>
        </w:rPr>
      </w:pPr>
      <w:r>
        <w:rPr>
          <w:rFonts w:hint="eastAsia" w:ascii="Arial" w:eastAsia="宋体"/>
          <w:lang w:val="en-US" w:eastAsia="zh-CN"/>
        </w:rPr>
        <w:t>Huimin Xia, Agri.</w:t>
      </w:r>
      <w:r>
        <w:rPr>
          <w:rFonts w:ascii="Arial"/>
        </w:rPr>
        <w:t xml:space="preserve"> </w:t>
      </w:r>
      <w:r>
        <w:rPr>
          <w:rFonts w:hint="eastAsia" w:ascii="Arial" w:eastAsia="宋体"/>
          <w:lang w:val="en-US" w:eastAsia="zh-CN"/>
        </w:rPr>
        <w:t>Ent M.Sc, Institute of Beneficial Insects</w:t>
      </w:r>
      <w:r>
        <w:rPr>
          <w:rFonts w:ascii="Arial"/>
        </w:rPr>
        <w:t>,</w:t>
      </w:r>
      <w:r>
        <w:rPr>
          <w:rFonts w:hint="eastAsia" w:ascii="Arial" w:eastAsia="宋体"/>
          <w:lang w:val="en-US" w:eastAsia="zh-CN"/>
        </w:rPr>
        <w:t>Fujian Agriculture and Forestry University,China</w:t>
      </w:r>
    </w:p>
    <w:p>
      <w:pPr>
        <w:pStyle w:val="5"/>
        <w:rPr>
          <w:rFonts w:hint="eastAsia" w:ascii="Arial" w:eastAsia="宋体"/>
          <w:lang w:val="en-US" w:eastAsia="zh-CN"/>
        </w:rPr>
      </w:pPr>
      <w:r>
        <w:rPr>
          <w:rFonts w:hint="eastAsia" w:ascii="Arial" w:eastAsia="宋体"/>
          <w:lang w:val="en-US" w:eastAsia="zh-CN"/>
        </w:rPr>
        <w:t>*Jiahua Chen, Prof., Institute of Beneficial Insects</w:t>
      </w:r>
      <w:r>
        <w:rPr>
          <w:rFonts w:ascii="Arial"/>
        </w:rPr>
        <w:t>,</w:t>
      </w:r>
      <w:r>
        <w:rPr>
          <w:rFonts w:hint="eastAsia" w:ascii="Arial" w:eastAsia="宋体"/>
          <w:lang w:val="en-US" w:eastAsia="zh-CN"/>
        </w:rPr>
        <w:t>Fujian Agriculture and Forestry University,China</w:t>
      </w: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5"/>
        <w:spacing w:before="90" w:line="280" w:lineRule="auto"/>
        <w:ind w:left="100"/>
        <w:jc w:val="both"/>
        <w:rPr>
          <w:rFonts w:hint="eastAsia" w:eastAsia="宋体"/>
          <w:i/>
          <w:iCs/>
          <w:lang w:val="en-US" w:eastAsia="zh-CN"/>
        </w:rPr>
      </w:pPr>
      <w:r>
        <w:rPr>
          <w:rFonts w:hint="eastAsia" w:eastAsia="宋体"/>
          <w:lang w:val="en-US" w:eastAsia="zh-CN"/>
        </w:rPr>
        <w:t xml:space="preserve">As rapid development of global economic integration, the biological invasion resulted in the severe decrease of global biodiversity and the </w:t>
      </w:r>
      <w:bookmarkStart w:id="2" w:name="OLE_LINK5"/>
      <w:r>
        <w:rPr>
          <w:rFonts w:hint="eastAsia" w:eastAsia="宋体"/>
          <w:lang w:val="en-US" w:eastAsia="zh-CN"/>
        </w:rPr>
        <w:t>considerably</w:t>
      </w:r>
      <w:bookmarkEnd w:id="2"/>
      <w:r>
        <w:rPr>
          <w:rFonts w:hint="eastAsia" w:eastAsia="宋体"/>
          <w:lang w:val="en-US" w:eastAsia="zh-CN"/>
        </w:rPr>
        <w:t xml:space="preserve"> economic and ecological losses in China. Since insect is a large group of invasive species, the risk assessment of invasive insects have attracted more attention from scientific communities. Based on literatures indexed by the Chinese and English </w:t>
      </w:r>
      <w:r>
        <w:rPr>
          <w:rFonts w:hint="eastAsia" w:eastAsia="宋体"/>
          <w:lang w:val="en-US" w:eastAsia="zh-CN"/>
        </w:rPr>
        <w:fldChar w:fldCharType="begin"/>
      </w:r>
      <w:r>
        <w:rPr>
          <w:rFonts w:hint="eastAsia" w:eastAsia="宋体"/>
          <w:lang w:val="en-US" w:eastAsia="zh-CN"/>
        </w:rPr>
        <w:instrText xml:space="preserve"> HYPERLINK "http://www.baidu.com/link?url=sIn3sjSxpnBkLf8N5UNXoQZQCdPgfqlYl6mxP65u4xtdtAemuXEbTm7722Es8VvSYdFfgzhuOJh6j6UnhpS5_Q5wEAxdsYISt47Y_IGPVj7CjPnjYlUbKvyHVwJZyfZZ" \t "https://www.baidu.com/_blank" </w:instrText>
      </w:r>
      <w:r>
        <w:rPr>
          <w:rFonts w:hint="eastAsia" w:eastAsia="宋体"/>
          <w:lang w:val="en-US" w:eastAsia="zh-CN"/>
        </w:rPr>
        <w:fldChar w:fldCharType="separate"/>
      </w:r>
      <w:r>
        <w:rPr>
          <w:rFonts w:hint="eastAsia" w:eastAsia="宋体"/>
          <w:lang w:val="en-US" w:eastAsia="zh-CN"/>
        </w:rPr>
        <w:t>document database</w:t>
      </w:r>
      <w:r>
        <w:rPr>
          <w:rFonts w:hint="eastAsia" w:eastAsia="宋体"/>
          <w:lang w:val="en-US" w:eastAsia="zh-CN"/>
        </w:rPr>
        <w:fldChar w:fldCharType="end"/>
      </w:r>
      <w:r>
        <w:rPr>
          <w:rFonts w:hint="eastAsia" w:eastAsia="宋体"/>
          <w:lang w:val="en-US" w:eastAsia="zh-CN"/>
        </w:rPr>
        <w:t xml:space="preserve">s (Web of Science) during 2007-2017, total 885 literatures associated with risk assessment of invasive insects were obtained. The results showed that the number of published papers related to risk assessment of invasive insects is the most in 2014. The journal named </w:t>
      </w:r>
      <w:r>
        <w:rPr>
          <w:rFonts w:hint="default" w:eastAsia="宋体"/>
          <w:lang w:val="en-US" w:eastAsia="zh-CN"/>
        </w:rPr>
        <w:t>‘</w:t>
      </w:r>
      <w:r>
        <w:rPr>
          <w:rFonts w:hint="eastAsia" w:eastAsia="宋体"/>
          <w:lang w:val="en-US" w:eastAsia="zh-CN"/>
        </w:rPr>
        <w:t>Biological Invasions</w:t>
      </w:r>
      <w:r>
        <w:rPr>
          <w:rFonts w:hint="default" w:eastAsia="宋体"/>
          <w:lang w:val="en-US" w:eastAsia="zh-CN"/>
        </w:rPr>
        <w:t>’</w:t>
      </w:r>
      <w:r>
        <w:rPr>
          <w:rFonts w:hint="eastAsia" w:eastAsia="宋体"/>
          <w:lang w:val="en-US" w:eastAsia="zh-CN"/>
        </w:rPr>
        <w:t xml:space="preserve"> has published most papers related to risk assessment of invasive insects among the international journals, while </w:t>
      </w:r>
      <w:r>
        <w:rPr>
          <w:rFonts w:hint="default" w:eastAsia="宋体"/>
          <w:lang w:val="en-US" w:eastAsia="zh-CN"/>
        </w:rPr>
        <w:t>‘</w:t>
      </w:r>
      <w:r>
        <w:rPr>
          <w:rFonts w:hint="eastAsia" w:eastAsia="宋体"/>
          <w:lang w:val="en-US" w:eastAsia="zh-CN"/>
        </w:rPr>
        <w:t>Plant Quarantine</w:t>
      </w:r>
      <w:r>
        <w:rPr>
          <w:rFonts w:hint="default" w:eastAsia="宋体"/>
          <w:lang w:val="en-US" w:eastAsia="zh-CN"/>
        </w:rPr>
        <w:t>’</w:t>
      </w:r>
      <w:r>
        <w:rPr>
          <w:rFonts w:hint="eastAsia" w:eastAsia="宋体"/>
          <w:lang w:val="en-US" w:eastAsia="zh-CN"/>
        </w:rPr>
        <w:t xml:space="preserve"> has published most Chinese articles among the Chinese journals. The number of scientific papers associated with </w:t>
      </w:r>
      <w:r>
        <w:rPr>
          <w:rFonts w:hint="eastAsia" w:eastAsia="宋体"/>
          <w:lang w:val="en-US" w:eastAsia="zh-CN"/>
        </w:rPr>
        <w:fldChar w:fldCharType="begin"/>
      </w:r>
      <w:r>
        <w:rPr>
          <w:rFonts w:hint="eastAsia" w:eastAsia="宋体"/>
          <w:lang w:val="en-US" w:eastAsia="zh-CN"/>
        </w:rPr>
        <w:instrText xml:space="preserve"> HYPERLINK "https://www.baidu.com/link?url=KW7v-8y74xkTSX-MdxnqSiETIRdX5gVLjckI8Tn52Ve-eeMVumxNjoMkDDaoORLliqjq7i8T3lM38tzA-KBP5bHwYnnD4TNR25Y4gf7SL-O&amp;wd=&amp;eqid=bad8888900005f3b0000000659c0ee47" \t "https://www.baidu.com/_blank" </w:instrText>
      </w:r>
      <w:r>
        <w:rPr>
          <w:rFonts w:hint="eastAsia" w:eastAsia="宋体"/>
          <w:lang w:val="en-US" w:eastAsia="zh-CN"/>
        </w:rPr>
        <w:fldChar w:fldCharType="separate"/>
      </w:r>
      <w:r>
        <w:rPr>
          <w:rFonts w:hint="eastAsia" w:eastAsia="宋体"/>
          <w:lang w:val="en-US" w:eastAsia="zh-CN"/>
        </w:rPr>
        <w:t>Hymenoptera</w:t>
      </w:r>
      <w:r>
        <w:rPr>
          <w:rFonts w:hint="eastAsia" w:eastAsia="宋体"/>
          <w:lang w:val="en-US" w:eastAsia="zh-CN"/>
        </w:rPr>
        <w:fldChar w:fldCharType="end"/>
      </w:r>
      <w:r>
        <w:rPr>
          <w:rFonts w:hint="eastAsia" w:eastAsia="宋体"/>
          <w:lang w:val="en-US" w:eastAsia="zh-CN"/>
        </w:rPr>
        <w:t xml:space="preserve">n insects is the most among the international journals, meanwhile </w:t>
      </w:r>
      <w:bookmarkStart w:id="3" w:name="OLE_LINK6"/>
      <w:r>
        <w:rPr>
          <w:rFonts w:hint="eastAsia" w:eastAsia="宋体"/>
          <w:lang w:val="en-US" w:eastAsia="zh-CN"/>
        </w:rPr>
        <w:t>the number of scientific papers associated with</w:t>
      </w:r>
      <w:bookmarkEnd w:id="3"/>
      <w:r>
        <w:rPr>
          <w:rFonts w:hint="eastAsia" w:eastAsia="宋体"/>
          <w:lang w:val="en-US" w:eastAsia="zh-CN"/>
        </w:rPr>
        <w:t xml:space="preserve"> Coleopteran insects is in majority among the Chinese journals. Nevertheless, the number of papers related to Dipteran insects is most in terms of both Chinese and English journals. Additionally, the numbers of paper related to risk assessment of three invasive insects, such as </w:t>
      </w:r>
      <w:r>
        <w:rPr>
          <w:rFonts w:hint="eastAsia" w:eastAsia="宋体"/>
          <w:i/>
          <w:iCs/>
          <w:lang w:val="en-US" w:eastAsia="zh-CN"/>
        </w:rPr>
        <w:t>Linepithema humile</w:t>
      </w:r>
      <w:r>
        <w:rPr>
          <w:rFonts w:hint="eastAsia" w:eastAsia="宋体"/>
          <w:lang w:val="en-US" w:eastAsia="zh-CN"/>
        </w:rPr>
        <w:t xml:space="preserve">, </w:t>
      </w:r>
      <w:r>
        <w:rPr>
          <w:rFonts w:hint="eastAsia" w:eastAsia="宋体"/>
          <w:i/>
          <w:iCs/>
          <w:lang w:val="en-US" w:eastAsia="zh-CN"/>
        </w:rPr>
        <w:t>Solenopsis invicta</w:t>
      </w:r>
      <w:r>
        <w:rPr>
          <w:rFonts w:hint="eastAsia" w:eastAsia="宋体"/>
          <w:lang w:val="en-US" w:eastAsia="zh-CN"/>
        </w:rPr>
        <w:t xml:space="preserve"> and </w:t>
      </w:r>
      <w:r>
        <w:rPr>
          <w:rFonts w:hint="eastAsia" w:eastAsia="宋体"/>
          <w:i/>
          <w:iCs/>
          <w:lang w:val="en-US" w:eastAsia="zh-CN"/>
        </w:rPr>
        <w:t>Bactrocera dorsalis</w:t>
      </w:r>
      <w:r>
        <w:rPr>
          <w:rFonts w:hint="eastAsia" w:eastAsia="宋体"/>
          <w:lang w:val="en-US" w:eastAsia="zh-CN"/>
        </w:rPr>
        <w:t xml:space="preserve"> are the most among the English journal. However, the risk assessments of </w:t>
      </w:r>
      <w:r>
        <w:rPr>
          <w:rFonts w:hint="eastAsia" w:eastAsia="宋体"/>
          <w:i/>
          <w:iCs/>
          <w:lang w:val="en-US" w:eastAsia="zh-CN"/>
        </w:rPr>
        <w:t>S. invicta</w:t>
      </w:r>
      <w:r>
        <w:rPr>
          <w:rFonts w:hint="eastAsia" w:eastAsia="宋体"/>
          <w:i w:val="0"/>
          <w:iCs w:val="0"/>
          <w:lang w:val="en-US" w:eastAsia="zh-CN"/>
        </w:rPr>
        <w:t>,</w:t>
      </w:r>
      <w:r>
        <w:rPr>
          <w:rFonts w:hint="eastAsia" w:eastAsia="宋体"/>
          <w:i/>
          <w:iCs/>
          <w:lang w:val="en-US" w:eastAsia="zh-CN"/>
        </w:rPr>
        <w:t xml:space="preserve"> B. dorsalis</w:t>
      </w:r>
      <w:r>
        <w:rPr>
          <w:rFonts w:hint="eastAsia" w:eastAsia="宋体"/>
          <w:i w:val="0"/>
          <w:iCs w:val="0"/>
          <w:lang w:val="en-US" w:eastAsia="zh-CN"/>
        </w:rPr>
        <w:t xml:space="preserve"> and </w:t>
      </w:r>
      <w:r>
        <w:rPr>
          <w:rFonts w:hint="eastAsia" w:eastAsia="宋体"/>
          <w:i/>
          <w:iCs/>
          <w:lang w:val="en-US" w:eastAsia="zh-CN"/>
        </w:rPr>
        <w:t xml:space="preserve">Cydia pomonella </w:t>
      </w:r>
      <w:r>
        <w:rPr>
          <w:rFonts w:hint="eastAsia" w:eastAsia="宋体"/>
          <w:i w:val="0"/>
          <w:iCs w:val="0"/>
          <w:lang w:val="en-US" w:eastAsia="zh-CN"/>
        </w:rPr>
        <w:t xml:space="preserve">were implemented most in China over last decade. </w:t>
      </w:r>
      <w:r>
        <w:rPr>
          <w:rFonts w:hint="eastAsia" w:eastAsia="宋体"/>
          <w:lang w:val="en-US" w:eastAsia="zh-CN"/>
        </w:rPr>
        <w:t xml:space="preserve">These results presented </w:t>
      </w:r>
      <w:r>
        <w:rPr>
          <w:rFonts w:hint="eastAsia" w:eastAsia="宋体"/>
          <w:lang w:val="en-US" w:eastAsia="zh-CN"/>
        </w:rPr>
        <w:fldChar w:fldCharType="begin"/>
      </w:r>
      <w:r>
        <w:rPr>
          <w:rFonts w:hint="eastAsia" w:eastAsia="宋体"/>
          <w:lang w:val="en-US" w:eastAsia="zh-CN"/>
        </w:rPr>
        <w:instrText xml:space="preserve"> HYPERLINK "https://www.baidu.com/link?url=naufmQSWle4VzWw8dHbUdUEhKOp53524JLho36LpkAyY8ZXsGCRJhNoVaOUMvQCiFR8JbgIo7idBPgML_dv_RcjvAsTdsf-TKYq1-LKF9IW&amp;wd=&amp;eqid=962c3349000017e80000000659c66926" \t "https://www.baidu.com/_blank" </w:instrText>
      </w:r>
      <w:r>
        <w:rPr>
          <w:rFonts w:hint="eastAsia" w:eastAsia="宋体"/>
          <w:lang w:val="en-US" w:eastAsia="zh-CN"/>
        </w:rPr>
        <w:fldChar w:fldCharType="separate"/>
      </w:r>
      <w:r>
        <w:rPr>
          <w:rFonts w:hint="eastAsia" w:eastAsia="宋体"/>
          <w:lang w:val="en-US" w:eastAsia="zh-CN"/>
        </w:rPr>
        <w:t>objectively</w:t>
      </w:r>
      <w:r>
        <w:rPr>
          <w:rFonts w:hint="eastAsia" w:eastAsia="宋体"/>
          <w:lang w:val="en-US" w:eastAsia="zh-CN"/>
        </w:rPr>
        <w:fldChar w:fldCharType="end"/>
      </w:r>
      <w:r>
        <w:rPr>
          <w:rFonts w:hint="eastAsia" w:eastAsia="宋体"/>
          <w:lang w:val="en-US" w:eastAsia="zh-CN"/>
        </w:rPr>
        <w:t xml:space="preserve"> research status and orientation on risk assessment of invasive pest over last decade, contribute to providing the reference for establishing effective prevention and control strategies.</w:t>
      </w:r>
    </w:p>
    <w:p>
      <w:pPr>
        <w:pStyle w:val="5"/>
        <w:spacing w:before="90" w:line="280" w:lineRule="auto"/>
        <w:ind w:left="100"/>
        <w:jc w:val="both"/>
      </w:pPr>
    </w:p>
    <w:p>
      <w:pPr>
        <w:pStyle w:val="4"/>
        <w:spacing w:before="74"/>
        <w:ind w:left="0" w:leftChars="0" w:firstLine="0" w:firstLineChars="0"/>
      </w:pPr>
      <w:r>
        <w:rPr>
          <w:b w:val="0"/>
        </w:rPr>
        <w:br w:type="column"/>
      </w:r>
      <w:r>
        <w:rPr>
          <w:color w:val="BF5A14"/>
        </w:rPr>
        <w:t>Image</w:t>
      </w:r>
      <w:r>
        <w:rPr>
          <w:rFonts w:hint="eastAsia" w:eastAsia="宋体"/>
          <w:color w:val="BF5A14"/>
          <w:lang w:val="en-US" w:eastAsia="zh-CN"/>
        </w:rPr>
        <w:t>s</w:t>
      </w:r>
    </w:p>
    <w:p>
      <w:pPr>
        <w:pStyle w:val="5"/>
        <w:spacing w:before="2"/>
        <w:jc w:val="center"/>
        <w:rPr>
          <w:rFonts w:hint="eastAsia" w:ascii="Arial" w:eastAsia="宋体"/>
          <w:b/>
          <w:sz w:val="16"/>
          <w:lang w:eastAsia="zh-CN"/>
        </w:rPr>
      </w:pPr>
      <w:r>
        <w:rPr>
          <w:rFonts w:hint="eastAsia" w:ascii="Arial" w:eastAsia="宋体"/>
          <w:b/>
          <w:sz w:val="16"/>
          <w:lang w:eastAsia="zh-CN"/>
        </w:rPr>
        <w:drawing>
          <wp:inline distT="0" distB="0" distL="114300" distR="114300">
            <wp:extent cx="2425700" cy="939165"/>
            <wp:effectExtent l="0" t="0" r="12700" b="13335"/>
            <wp:docPr id="4" name="图片 4" descr="QQ截图2017120120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Q截图20171201204003"/>
                    <pic:cNvPicPr>
                      <a:picLocks noChangeAspect="1"/>
                    </pic:cNvPicPr>
                  </pic:nvPicPr>
                  <pic:blipFill>
                    <a:blip r:embed="rId6"/>
                    <a:stretch>
                      <a:fillRect/>
                    </a:stretch>
                  </pic:blipFill>
                  <pic:spPr>
                    <a:xfrm>
                      <a:off x="0" y="0"/>
                      <a:ext cx="2425700" cy="939165"/>
                    </a:xfrm>
                    <a:prstGeom prst="rect">
                      <a:avLst/>
                    </a:prstGeom>
                  </pic:spPr>
                </pic:pic>
              </a:graphicData>
            </a:graphic>
          </wp:inline>
        </w:drawing>
      </w:r>
    </w:p>
    <w:p>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outlineLvl w:val="9"/>
        <w:rPr>
          <w:rFonts w:hint="eastAsia" w:ascii="Arial" w:hAnsi="Tw Cen MT" w:eastAsia="宋体" w:cs="Tw Cen MT"/>
          <w:b/>
          <w:i w:val="0"/>
          <w:iCs w:val="0"/>
          <w:kern w:val="0"/>
          <w:sz w:val="13"/>
          <w:szCs w:val="13"/>
          <w:lang w:val="en-US" w:eastAsia="zh-CN" w:bidi="ar-SA"/>
        </w:rPr>
      </w:pPr>
      <w:r>
        <w:rPr>
          <w:rFonts w:hint="eastAsia" w:ascii="Arial" w:hAnsi="Tw Cen MT" w:eastAsia="宋体" w:cs="Tw Cen MT"/>
          <w:b/>
          <w:i w:val="0"/>
          <w:iCs w:val="0"/>
          <w:kern w:val="0"/>
          <w:sz w:val="13"/>
          <w:szCs w:val="13"/>
          <w:lang w:val="en-US" w:eastAsia="zh-CN" w:bidi="ar-SA"/>
        </w:rPr>
        <w:t>Figure 1</w:t>
      </w:r>
      <w:r>
        <w:rPr>
          <w:rFonts w:hint="eastAsia" w:ascii="Arial" w:eastAsia="宋体" w:cs="Tw Cen MT"/>
          <w:b/>
          <w:i w:val="0"/>
          <w:iCs w:val="0"/>
          <w:kern w:val="0"/>
          <w:sz w:val="13"/>
          <w:szCs w:val="13"/>
          <w:lang w:val="en-US" w:eastAsia="zh-CN" w:bidi="ar-SA"/>
        </w:rPr>
        <w:t>.</w:t>
      </w:r>
      <w:r>
        <w:rPr>
          <w:rFonts w:hint="eastAsia" w:ascii="Arial" w:hAnsi="Tw Cen MT" w:eastAsia="宋体" w:cs="Tw Cen MT"/>
          <w:b/>
          <w:i w:val="0"/>
          <w:iCs w:val="0"/>
          <w:kern w:val="0"/>
          <w:sz w:val="13"/>
          <w:szCs w:val="13"/>
          <w:lang w:val="en-US" w:eastAsia="zh-CN" w:bidi="ar-SA"/>
        </w:rPr>
        <w:t xml:space="preserve"> The number of published papers related to risk assessment of exotic invasive insect species during 2007-2017.</w:t>
      </w:r>
    </w:p>
    <w:p>
      <w:pPr>
        <w:spacing w:line="240" w:lineRule="auto"/>
        <w:rPr>
          <w:rFonts w:hint="eastAsia" w:eastAsia="宋体"/>
          <w:lang w:eastAsia="zh-CN"/>
        </w:rPr>
      </w:pPr>
      <w:r>
        <w:rPr>
          <w:rFonts w:hint="eastAsia" w:eastAsia="宋体"/>
          <w:lang w:eastAsia="zh-CN"/>
        </w:rPr>
        <w:drawing>
          <wp:inline distT="0" distB="0" distL="114300" distR="114300">
            <wp:extent cx="3380105" cy="866140"/>
            <wp:effectExtent l="0" t="0" r="10795" b="10160"/>
            <wp:docPr id="2" name="图片 2" descr="initpi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nitpintu"/>
                    <pic:cNvPicPr>
                      <a:picLocks noChangeAspect="1"/>
                    </pic:cNvPicPr>
                  </pic:nvPicPr>
                  <pic:blipFill>
                    <a:blip r:embed="rId7"/>
                    <a:stretch>
                      <a:fillRect/>
                    </a:stretch>
                  </pic:blipFill>
                  <pic:spPr>
                    <a:xfrm>
                      <a:off x="0" y="0"/>
                      <a:ext cx="3380105" cy="866140"/>
                    </a:xfrm>
                    <a:prstGeom prst="rect">
                      <a:avLst/>
                    </a:prstGeom>
                  </pic:spPr>
                </pic:pic>
              </a:graphicData>
            </a:graphic>
          </wp:inline>
        </w:drawing>
      </w:r>
    </w:p>
    <w:p>
      <w:pPr>
        <w:spacing w:line="240" w:lineRule="auto"/>
        <w:rPr>
          <w:rFonts w:hint="eastAsia" w:ascii="Arial" w:eastAsia="宋体" w:cs="Tw Cen MT"/>
          <w:b/>
          <w:i w:val="0"/>
          <w:iCs w:val="0"/>
          <w:kern w:val="0"/>
          <w:sz w:val="13"/>
          <w:szCs w:val="13"/>
          <w:lang w:val="en-US" w:eastAsia="zh-CN" w:bidi="ar-SA"/>
        </w:rPr>
      </w:pPr>
      <w:r>
        <w:rPr>
          <w:rFonts w:hint="eastAsia" w:ascii="Arial" w:hAnsi="Tw Cen MT" w:eastAsia="宋体" w:cs="Tw Cen MT"/>
          <w:b/>
          <w:sz w:val="13"/>
          <w:szCs w:val="13"/>
          <w:lang w:val="en-US" w:eastAsia="zh-CN" w:bidi="ar-SA"/>
        </w:rPr>
        <w:t xml:space="preserve">Figure 2. </w:t>
      </w:r>
      <w:r>
        <w:rPr>
          <w:rFonts w:hint="eastAsia" w:ascii="Arial" w:hAnsi="Tw Cen MT" w:eastAsia="宋体" w:cs="Tw Cen MT"/>
          <w:b/>
          <w:i w:val="0"/>
          <w:iCs w:val="0"/>
          <w:kern w:val="0"/>
          <w:sz w:val="13"/>
          <w:szCs w:val="13"/>
          <w:lang w:val="en-US" w:eastAsia="zh-CN" w:bidi="ar-SA"/>
        </w:rPr>
        <w:t xml:space="preserve">The top 10 journals publishing papers associated with risk assessment of exotic invasive insects species based on Chinese </w:t>
      </w:r>
      <w:r>
        <w:rPr>
          <w:rFonts w:hint="eastAsia" w:ascii="Arial" w:eastAsia="宋体" w:cs="Tw Cen MT"/>
          <w:b/>
          <w:i w:val="0"/>
          <w:iCs w:val="0"/>
          <w:kern w:val="0"/>
          <w:sz w:val="13"/>
          <w:szCs w:val="13"/>
          <w:lang w:val="en-US" w:eastAsia="zh-CN" w:bidi="ar-SA"/>
        </w:rPr>
        <w:t xml:space="preserve">and English </w:t>
      </w:r>
      <w:r>
        <w:rPr>
          <w:rFonts w:hint="eastAsia" w:ascii="Arial" w:hAnsi="Tw Cen MT" w:eastAsia="宋体" w:cs="Tw Cen MT"/>
          <w:b/>
          <w:i w:val="0"/>
          <w:iCs w:val="0"/>
          <w:kern w:val="0"/>
          <w:sz w:val="13"/>
          <w:szCs w:val="13"/>
          <w:lang w:val="en-US" w:eastAsia="zh-CN" w:bidi="ar-SA"/>
        </w:rPr>
        <w:t>bibliographic database during 2007-2017</w:t>
      </w:r>
      <w:r>
        <w:rPr>
          <w:rFonts w:hint="eastAsia" w:ascii="Arial" w:eastAsia="宋体" w:cs="Tw Cen MT"/>
          <w:b/>
          <w:i w:val="0"/>
          <w:iCs w:val="0"/>
          <w:kern w:val="0"/>
          <w:sz w:val="13"/>
          <w:szCs w:val="13"/>
          <w:lang w:val="en-US" w:eastAsia="zh-CN" w:bidi="ar-SA"/>
        </w:rPr>
        <w:t>.</w:t>
      </w:r>
    </w:p>
    <w:p>
      <w:pPr>
        <w:spacing w:line="240" w:lineRule="auto"/>
        <w:jc w:val="center"/>
        <w:rPr>
          <w:rFonts w:hint="eastAsia" w:ascii="Arial" w:eastAsia="宋体"/>
          <w:b/>
          <w:color w:val="BF5A14"/>
          <w:sz w:val="20"/>
          <w:lang w:eastAsia="zh-CN"/>
        </w:rPr>
      </w:pPr>
      <w:r>
        <w:rPr>
          <w:rFonts w:hint="eastAsia" w:ascii="Arial" w:eastAsia="宋体"/>
          <w:b/>
          <w:color w:val="BF5A14"/>
          <w:sz w:val="20"/>
          <w:lang w:eastAsia="zh-CN"/>
        </w:rPr>
        <w:drawing>
          <wp:inline distT="0" distB="0" distL="114300" distR="114300">
            <wp:extent cx="2302510" cy="1071245"/>
            <wp:effectExtent l="0" t="0" r="2540" b="14605"/>
            <wp:docPr id="6" name="图片 6" descr="QQ截图2017120120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截图20171201204647"/>
                    <pic:cNvPicPr>
                      <a:picLocks noChangeAspect="1"/>
                    </pic:cNvPicPr>
                  </pic:nvPicPr>
                  <pic:blipFill>
                    <a:blip r:embed="rId8"/>
                    <a:stretch>
                      <a:fillRect/>
                    </a:stretch>
                  </pic:blipFill>
                  <pic:spPr>
                    <a:xfrm>
                      <a:off x="0" y="0"/>
                      <a:ext cx="2302510" cy="1071245"/>
                    </a:xfrm>
                    <a:prstGeom prst="rect">
                      <a:avLst/>
                    </a:prstGeom>
                  </pic:spPr>
                </pic:pic>
              </a:graphicData>
            </a:graphic>
          </wp:inline>
        </w:drawing>
      </w:r>
    </w:p>
    <w:p>
      <w:pPr>
        <w:spacing w:line="240" w:lineRule="auto"/>
        <w:jc w:val="both"/>
        <w:rPr>
          <w:rFonts w:ascii="Arial"/>
          <w:b/>
          <w:sz w:val="20"/>
        </w:rPr>
      </w:pPr>
      <w:r>
        <w:rPr>
          <w:rFonts w:hint="eastAsia" w:ascii="Arial" w:hAnsi="Tw Cen MT" w:eastAsia="宋体" w:cs="Tw Cen MT"/>
          <w:b/>
          <w:sz w:val="13"/>
          <w:szCs w:val="13"/>
          <w:lang w:val="en-US" w:eastAsia="zh-CN" w:bidi="ar-SA"/>
        </w:rPr>
        <w:t xml:space="preserve">Figure 3. The number of </w:t>
      </w:r>
      <w:r>
        <w:rPr>
          <w:rFonts w:hint="eastAsia" w:ascii="Arial" w:eastAsia="宋体" w:cs="Tw Cen MT"/>
          <w:b/>
          <w:sz w:val="13"/>
          <w:szCs w:val="13"/>
          <w:lang w:val="en-US" w:eastAsia="zh-CN" w:bidi="ar-SA"/>
        </w:rPr>
        <w:t>English</w:t>
      </w:r>
      <w:r>
        <w:rPr>
          <w:rFonts w:hint="eastAsia" w:ascii="Arial" w:hAnsi="Tw Cen MT" w:eastAsia="宋体" w:cs="Tw Cen MT"/>
          <w:b/>
          <w:sz w:val="13"/>
          <w:szCs w:val="13"/>
          <w:lang w:val="en-US" w:eastAsia="zh-CN" w:bidi="ar-SA"/>
        </w:rPr>
        <w:t xml:space="preserve"> and </w:t>
      </w:r>
      <w:r>
        <w:rPr>
          <w:rFonts w:hint="eastAsia" w:ascii="Arial" w:eastAsia="宋体" w:cs="Tw Cen MT"/>
          <w:b/>
          <w:sz w:val="13"/>
          <w:szCs w:val="13"/>
          <w:lang w:val="en-US" w:eastAsia="zh-CN" w:bidi="ar-SA"/>
        </w:rPr>
        <w:t>Chinese</w:t>
      </w:r>
      <w:r>
        <w:rPr>
          <w:rFonts w:hint="eastAsia" w:ascii="Arial" w:hAnsi="Tw Cen MT" w:eastAsia="宋体" w:cs="Tw Cen MT"/>
          <w:b/>
          <w:sz w:val="13"/>
          <w:szCs w:val="13"/>
          <w:lang w:val="en-US" w:eastAsia="zh-CN" w:bidi="ar-SA"/>
        </w:rPr>
        <w:t xml:space="preserve"> papers related to risk assessment of invasive insect species at different orders</w:t>
      </w:r>
      <w:r>
        <w:rPr>
          <w:rFonts w:hint="eastAsia" w:ascii="Arial" w:eastAsia="宋体" w:cs="Tw Cen MT"/>
          <w:b/>
          <w:sz w:val="13"/>
          <w:szCs w:val="13"/>
          <w:lang w:val="en-US" w:eastAsia="zh-CN" w:bidi="ar-SA"/>
        </w:rPr>
        <w:t>.</w:t>
      </w:r>
      <w:r>
        <w:rPr>
          <w:rFonts w:ascii="Arial"/>
          <w:b/>
          <w:color w:val="BF5A14"/>
          <w:sz w:val="20"/>
        </w:rPr>
        <w:br w:type="textWrapping"/>
      </w:r>
      <w:r>
        <w:rPr>
          <w:rFonts w:ascii="Arial"/>
          <w:b/>
          <w:color w:val="BF5A14"/>
          <w:sz w:val="20"/>
        </w:rPr>
        <w:t>Recent Publications (minimum 5)</w:t>
      </w:r>
    </w:p>
    <w:p>
      <w:pPr>
        <w:pStyle w:val="13"/>
        <w:numPr>
          <w:ilvl w:val="0"/>
          <w:numId w:val="1"/>
        </w:numPr>
        <w:tabs>
          <w:tab w:val="left" w:pos="384"/>
        </w:tabs>
        <w:spacing w:before="92" w:line="218" w:lineRule="exact"/>
        <w:ind w:hanging="283"/>
        <w:rPr>
          <w:sz w:val="18"/>
          <w:szCs w:val="22"/>
        </w:rPr>
      </w:pPr>
      <w:r>
        <w:rPr>
          <w:rFonts w:hint="eastAsia" w:eastAsia="宋体"/>
          <w:sz w:val="18"/>
          <w:szCs w:val="22"/>
          <w:lang w:val="en-US" w:eastAsia="zh-CN"/>
        </w:rPr>
        <w:t>Chen</w:t>
      </w:r>
      <w:r>
        <w:rPr>
          <w:sz w:val="18"/>
          <w:szCs w:val="22"/>
        </w:rPr>
        <w:t xml:space="preserve"> Y </w:t>
      </w:r>
      <w:r>
        <w:rPr>
          <w:rFonts w:hint="eastAsia" w:eastAsia="宋体"/>
          <w:sz w:val="18"/>
          <w:szCs w:val="22"/>
          <w:lang w:val="en-US" w:eastAsia="zh-CN"/>
        </w:rPr>
        <w:t>T</w:t>
      </w:r>
      <w:r>
        <w:rPr>
          <w:sz w:val="18"/>
          <w:szCs w:val="22"/>
        </w:rPr>
        <w:t xml:space="preserve">, </w:t>
      </w:r>
      <w:r>
        <w:rPr>
          <w:rFonts w:hint="eastAsia" w:eastAsia="宋体"/>
          <w:sz w:val="18"/>
          <w:szCs w:val="22"/>
          <w:lang w:val="en-US" w:eastAsia="zh-CN"/>
        </w:rPr>
        <w:t>Li H</w:t>
      </w:r>
      <w:r>
        <w:rPr>
          <w:sz w:val="18"/>
          <w:szCs w:val="22"/>
        </w:rPr>
        <w:t xml:space="preserve">, </w:t>
      </w:r>
      <w:r>
        <w:rPr>
          <w:rFonts w:hint="eastAsia" w:eastAsia="宋体"/>
          <w:sz w:val="18"/>
          <w:szCs w:val="22"/>
          <w:lang w:val="en-US" w:eastAsia="zh-CN"/>
        </w:rPr>
        <w:t>Wang R</w:t>
      </w:r>
      <w:r>
        <w:rPr>
          <w:sz w:val="18"/>
          <w:szCs w:val="22"/>
        </w:rPr>
        <w:t xml:space="preserve">, et al. </w:t>
      </w:r>
      <w:r>
        <w:rPr>
          <w:rFonts w:hint="eastAsia" w:eastAsia="宋体"/>
          <w:sz w:val="18"/>
          <w:szCs w:val="22"/>
          <w:lang w:val="en-US" w:eastAsia="zh-CN"/>
        </w:rPr>
        <w:t>(2013). Current status and major progress on the risk analysis of invasive alien insects over last decade</w:t>
      </w:r>
      <w:r>
        <w:rPr>
          <w:sz w:val="18"/>
          <w:szCs w:val="22"/>
        </w:rPr>
        <w:t xml:space="preserve">. </w:t>
      </w:r>
      <w:r>
        <w:rPr>
          <w:rFonts w:hint="eastAsia" w:eastAsia="宋体"/>
          <w:sz w:val="18"/>
          <w:szCs w:val="22"/>
          <w:lang w:val="en-US" w:eastAsia="zh-CN"/>
        </w:rPr>
        <w:t>Journal of Biosafety 22(4): 217-228</w:t>
      </w:r>
      <w:r>
        <w:rPr>
          <w:sz w:val="18"/>
          <w:szCs w:val="22"/>
        </w:rPr>
        <w:t>.</w:t>
      </w:r>
    </w:p>
    <w:p>
      <w:pPr>
        <w:pStyle w:val="13"/>
        <w:numPr>
          <w:ilvl w:val="0"/>
          <w:numId w:val="1"/>
        </w:numPr>
        <w:tabs>
          <w:tab w:val="left" w:pos="384"/>
        </w:tabs>
        <w:spacing w:before="92" w:line="218" w:lineRule="exact"/>
        <w:ind w:hanging="283"/>
        <w:rPr>
          <w:sz w:val="18"/>
          <w:szCs w:val="22"/>
        </w:rPr>
      </w:pPr>
      <w:r>
        <w:rPr>
          <w:sz w:val="18"/>
          <w:szCs w:val="22"/>
        </w:rPr>
        <w:t xml:space="preserve">Mesdaghinia A, Younesian M, Nasseri S, et al. </w:t>
      </w:r>
      <w:r>
        <w:rPr>
          <w:rFonts w:hint="eastAsia" w:eastAsia="宋体"/>
          <w:sz w:val="18"/>
          <w:szCs w:val="22"/>
          <w:lang w:val="en-US" w:eastAsia="zh-CN"/>
        </w:rPr>
        <w:t xml:space="preserve">(2015). </w:t>
      </w:r>
      <w:r>
        <w:rPr>
          <w:sz w:val="18"/>
          <w:szCs w:val="22"/>
        </w:rPr>
        <w:t>Analysis of the microbial risk assessment studies from 1973 to 2015: a bibliometric case study. Scientometrics 105(1):691-707.</w:t>
      </w:r>
    </w:p>
    <w:p>
      <w:pPr>
        <w:pStyle w:val="13"/>
        <w:numPr>
          <w:ilvl w:val="0"/>
          <w:numId w:val="1"/>
        </w:numPr>
        <w:tabs>
          <w:tab w:val="left" w:pos="384"/>
        </w:tabs>
        <w:spacing w:before="92" w:line="218" w:lineRule="exact"/>
        <w:ind w:hanging="283"/>
        <w:rPr>
          <w:sz w:val="18"/>
          <w:szCs w:val="22"/>
        </w:rPr>
      </w:pPr>
      <w:r>
        <w:rPr>
          <w:sz w:val="18"/>
          <w:szCs w:val="22"/>
        </w:rPr>
        <w:t xml:space="preserve">Mesdaghinia A, Younesian M, Nasseri S, et al. </w:t>
      </w:r>
      <w:r>
        <w:rPr>
          <w:rFonts w:hint="eastAsia" w:eastAsia="宋体"/>
          <w:sz w:val="18"/>
          <w:szCs w:val="22"/>
          <w:lang w:val="en-US" w:eastAsia="zh-CN"/>
        </w:rPr>
        <w:t xml:space="preserve">(2015). </w:t>
      </w:r>
      <w:r>
        <w:rPr>
          <w:sz w:val="18"/>
          <w:szCs w:val="22"/>
        </w:rPr>
        <w:t xml:space="preserve">A </w:t>
      </w:r>
      <w:r>
        <w:rPr>
          <w:rFonts w:hint="eastAsia" w:eastAsia="宋体"/>
          <w:sz w:val="18"/>
          <w:szCs w:val="22"/>
          <w:lang w:val="en-US" w:eastAsia="zh-CN"/>
        </w:rPr>
        <w:t>b</w:t>
      </w:r>
      <w:r>
        <w:rPr>
          <w:sz w:val="18"/>
          <w:szCs w:val="22"/>
        </w:rPr>
        <w:t xml:space="preserve">ibliometric and </w:t>
      </w:r>
      <w:r>
        <w:rPr>
          <w:rFonts w:hint="eastAsia" w:eastAsia="宋体"/>
          <w:sz w:val="18"/>
          <w:szCs w:val="22"/>
          <w:lang w:val="en-US" w:eastAsia="zh-CN"/>
        </w:rPr>
        <w:t>t</w:t>
      </w:r>
      <w:r>
        <w:rPr>
          <w:sz w:val="18"/>
          <w:szCs w:val="22"/>
        </w:rPr>
        <w:t xml:space="preserve">rend </w:t>
      </w:r>
      <w:r>
        <w:rPr>
          <w:rFonts w:hint="eastAsia" w:eastAsia="宋体"/>
          <w:sz w:val="18"/>
          <w:szCs w:val="22"/>
          <w:lang w:val="en-US" w:eastAsia="zh-CN"/>
        </w:rPr>
        <w:t>a</w:t>
      </w:r>
      <w:r>
        <w:rPr>
          <w:sz w:val="18"/>
          <w:szCs w:val="22"/>
        </w:rPr>
        <w:t xml:space="preserve">nalysis on the </w:t>
      </w:r>
      <w:r>
        <w:rPr>
          <w:rFonts w:hint="eastAsia" w:eastAsia="宋体"/>
          <w:sz w:val="18"/>
          <w:szCs w:val="22"/>
          <w:lang w:val="en-US" w:eastAsia="zh-CN"/>
        </w:rPr>
        <w:t>w</w:t>
      </w:r>
      <w:r>
        <w:rPr>
          <w:sz w:val="18"/>
          <w:szCs w:val="22"/>
        </w:rPr>
        <w:t>ater-</w:t>
      </w:r>
      <w:r>
        <w:rPr>
          <w:rFonts w:hint="eastAsia" w:eastAsia="宋体"/>
          <w:sz w:val="18"/>
          <w:szCs w:val="22"/>
          <w:lang w:val="en-US" w:eastAsia="zh-CN"/>
        </w:rPr>
        <w:t>r</w:t>
      </w:r>
      <w:r>
        <w:rPr>
          <w:sz w:val="18"/>
          <w:szCs w:val="22"/>
        </w:rPr>
        <w:t xml:space="preserve">elated </w:t>
      </w:r>
      <w:r>
        <w:rPr>
          <w:rFonts w:hint="eastAsia" w:eastAsia="宋体"/>
          <w:sz w:val="18"/>
          <w:szCs w:val="22"/>
          <w:lang w:val="en-US" w:eastAsia="zh-CN"/>
        </w:rPr>
        <w:t>r</w:t>
      </w:r>
      <w:r>
        <w:rPr>
          <w:sz w:val="18"/>
          <w:szCs w:val="22"/>
        </w:rPr>
        <w:t xml:space="preserve">isk </w:t>
      </w:r>
      <w:r>
        <w:rPr>
          <w:rFonts w:hint="eastAsia" w:eastAsia="宋体"/>
          <w:sz w:val="18"/>
          <w:szCs w:val="22"/>
          <w:lang w:val="en-US" w:eastAsia="zh-CN"/>
        </w:rPr>
        <w:t>a</w:t>
      </w:r>
      <w:r>
        <w:rPr>
          <w:sz w:val="18"/>
          <w:szCs w:val="22"/>
        </w:rPr>
        <w:t xml:space="preserve">ssessment </w:t>
      </w:r>
      <w:r>
        <w:rPr>
          <w:rFonts w:hint="eastAsia" w:eastAsia="宋体"/>
          <w:sz w:val="18"/>
          <w:szCs w:val="22"/>
          <w:lang w:val="en-US" w:eastAsia="zh-CN"/>
        </w:rPr>
        <w:t>s</w:t>
      </w:r>
      <w:r>
        <w:rPr>
          <w:sz w:val="18"/>
          <w:szCs w:val="22"/>
        </w:rPr>
        <w:t xml:space="preserve">tudies for </w:t>
      </w:r>
      <w:bookmarkStart w:id="4" w:name="OLE_LINK2"/>
      <w:r>
        <w:rPr>
          <w:sz w:val="18"/>
          <w:szCs w:val="22"/>
        </w:rPr>
        <w:t>Cryptosporidium</w:t>
      </w:r>
      <w:bookmarkEnd w:id="4"/>
      <w:r>
        <w:rPr>
          <w:sz w:val="18"/>
          <w:szCs w:val="22"/>
        </w:rPr>
        <w:t xml:space="preserve"> </w:t>
      </w:r>
      <w:r>
        <w:rPr>
          <w:rFonts w:hint="eastAsia" w:eastAsia="宋体"/>
          <w:sz w:val="18"/>
          <w:szCs w:val="22"/>
          <w:lang w:val="en-US" w:eastAsia="zh-CN"/>
        </w:rPr>
        <w:t>p</w:t>
      </w:r>
      <w:r>
        <w:rPr>
          <w:sz w:val="18"/>
          <w:szCs w:val="22"/>
        </w:rPr>
        <w:t>athogen.</w:t>
      </w:r>
      <w:r>
        <w:rPr>
          <w:rFonts w:hint="eastAsia" w:eastAsia="宋体"/>
          <w:sz w:val="18"/>
          <w:szCs w:val="22"/>
          <w:lang w:val="en-US" w:eastAsia="zh-CN"/>
        </w:rPr>
        <w:t xml:space="preserve"> </w:t>
      </w:r>
      <w:r>
        <w:rPr>
          <w:sz w:val="18"/>
          <w:szCs w:val="22"/>
        </w:rPr>
        <w:t>Iranian Journal of Parasitology</w:t>
      </w:r>
      <w:r>
        <w:rPr>
          <w:rFonts w:hint="eastAsia" w:eastAsia="宋体"/>
          <w:sz w:val="18"/>
          <w:szCs w:val="22"/>
          <w:lang w:val="en-US" w:eastAsia="zh-CN"/>
        </w:rPr>
        <w:t xml:space="preserve"> </w:t>
      </w:r>
      <w:r>
        <w:rPr>
          <w:sz w:val="18"/>
          <w:szCs w:val="22"/>
        </w:rPr>
        <w:t>10(3):</w:t>
      </w:r>
      <w:r>
        <w:rPr>
          <w:rFonts w:hint="eastAsia" w:eastAsia="宋体"/>
          <w:sz w:val="18"/>
          <w:szCs w:val="22"/>
          <w:lang w:val="en-US" w:eastAsia="zh-CN"/>
        </w:rPr>
        <w:t xml:space="preserve"> </w:t>
      </w:r>
      <w:r>
        <w:rPr>
          <w:sz w:val="18"/>
          <w:szCs w:val="22"/>
        </w:rPr>
        <w:t>338-350.</w:t>
      </w:r>
    </w:p>
    <w:p>
      <w:pPr>
        <w:pStyle w:val="13"/>
        <w:numPr>
          <w:ilvl w:val="0"/>
          <w:numId w:val="1"/>
        </w:numPr>
        <w:tabs>
          <w:tab w:val="left" w:pos="384"/>
        </w:tabs>
        <w:spacing w:before="92" w:line="218" w:lineRule="exact"/>
        <w:ind w:hanging="283"/>
        <w:rPr>
          <w:rFonts w:hint="eastAsia" w:ascii="Calibri" w:hAnsi="Calibri" w:eastAsia="宋体" w:cs="Calibri"/>
          <w:sz w:val="18"/>
          <w:szCs w:val="22"/>
          <w:lang w:val="en-US" w:eastAsia="zh-CN" w:bidi="ar-SA"/>
        </w:rPr>
      </w:pPr>
      <w:r>
        <w:rPr>
          <w:rFonts w:hint="eastAsia" w:eastAsia="宋体"/>
          <w:sz w:val="18"/>
          <w:szCs w:val="22"/>
          <w:lang w:val="en-US" w:eastAsia="zh-CN"/>
        </w:rPr>
        <w:t xml:space="preserve">Zhu F, Du D L. (2013). </w:t>
      </w:r>
      <w:r>
        <w:rPr>
          <w:rFonts w:hint="eastAsia"/>
          <w:sz w:val="18"/>
          <w:szCs w:val="22"/>
        </w:rPr>
        <w:t>Research on risk assessment of biological invasion</w:t>
      </w:r>
      <w:r>
        <w:rPr>
          <w:rFonts w:hint="eastAsia" w:eastAsia="宋体"/>
          <w:sz w:val="18"/>
          <w:szCs w:val="22"/>
          <w:lang w:val="en-US" w:eastAsia="zh-CN"/>
        </w:rPr>
        <w:t xml:space="preserve"> </w:t>
      </w:r>
      <w:r>
        <w:rPr>
          <w:rFonts w:hint="eastAsia"/>
          <w:sz w:val="18"/>
          <w:szCs w:val="22"/>
        </w:rPr>
        <w:t>based on literature analysi</w:t>
      </w:r>
      <w:r>
        <w:rPr>
          <w:rFonts w:hint="eastAsia" w:eastAsia="宋体"/>
          <w:sz w:val="18"/>
          <w:szCs w:val="22"/>
          <w:lang w:val="en-US" w:eastAsia="zh-CN"/>
        </w:rPr>
        <w:t>s. Guangdong Agricultural Sciences 40(22): 177-182.</w:t>
      </w:r>
    </w:p>
    <w:p>
      <w:pPr>
        <w:pStyle w:val="13"/>
        <w:numPr>
          <w:ilvl w:val="0"/>
          <w:numId w:val="1"/>
        </w:numPr>
        <w:tabs>
          <w:tab w:val="left" w:pos="384"/>
        </w:tabs>
        <w:spacing w:before="92" w:line="218" w:lineRule="exact"/>
        <w:ind w:hanging="283"/>
        <w:rPr>
          <w:rFonts w:hint="eastAsia" w:ascii="Calibri" w:hAnsi="Calibri" w:eastAsia="宋体" w:cs="Calibri"/>
          <w:sz w:val="18"/>
          <w:szCs w:val="22"/>
          <w:lang w:val="en-US" w:eastAsia="zh-CN" w:bidi="ar-SA"/>
        </w:rPr>
      </w:pPr>
      <w:r>
        <w:rPr>
          <w:rFonts w:hint="eastAsia" w:eastAsia="宋体"/>
          <w:sz w:val="18"/>
          <w:szCs w:val="22"/>
          <w:lang w:val="en-US" w:eastAsia="zh-CN"/>
        </w:rPr>
        <w:t xml:space="preserve">Wan J, Yang Y F, Peng L, et al. (2017). </w:t>
      </w:r>
      <w:r>
        <w:rPr>
          <w:rFonts w:hint="eastAsia" w:ascii="Calibri" w:hAnsi="Calibri" w:eastAsia="宋体" w:cs="Calibri"/>
          <w:sz w:val="18"/>
          <w:szCs w:val="22"/>
          <w:lang w:val="en-US" w:eastAsia="zh-CN" w:bidi="ar-SA"/>
        </w:rPr>
        <w:t>A bibliometric analysis of research on biological invasions of China and Australia</w:t>
      </w:r>
      <w:r>
        <w:rPr>
          <w:rFonts w:hint="eastAsia" w:eastAsia="宋体" w:cs="Calibri"/>
          <w:sz w:val="18"/>
          <w:szCs w:val="22"/>
          <w:lang w:val="en-US" w:eastAsia="zh-CN" w:bidi="ar-SA"/>
        </w:rPr>
        <w:t xml:space="preserve">. Journal of Environmental Entomology 39(2): 472-479. </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rFonts w:ascii="Arial"/>
          <w:color w:val="BF5A14"/>
        </w:rPr>
        <w:t>Biography (150 word limit)</w:t>
      </w:r>
    </w:p>
    <w:p>
      <w:pPr>
        <w:spacing w:before="41" w:line="154" w:lineRule="exact"/>
        <w:ind w:left="213" w:right="231"/>
        <w:jc w:val="both"/>
        <w:rPr>
          <w:rFonts w:hint="eastAsia" w:ascii="Arial" w:eastAsia="宋体"/>
          <w:sz w:val="14"/>
          <w:lang w:val="en-US" w:eastAsia="zh-CN"/>
        </w:rPr>
      </w:pPr>
      <w:r>
        <w:rPr>
          <w:rFonts w:hint="eastAsia" w:ascii="Arial" w:eastAsia="宋体"/>
          <w:sz w:val="14"/>
          <w:lang w:val="en-US" w:eastAsia="zh-CN"/>
        </w:rPr>
        <w:t>Cong Wang has researched the risk assessment of invasive alien pest for two years. The worldwide increase of agricultural trade in economic crops and other plant material, caused increased threats of introduction and establishment of pests, then resulted in the severe decrease of biodiversity and the economic and ecological losses in China. She mainly engaged in the pest risk analysis (PRA), which is a necessary component of plant health policy, minimizing the risk introduction and establishment of new plant pests.</w:t>
      </w:r>
    </w:p>
    <w:p>
      <w:pPr>
        <w:spacing w:before="62"/>
        <w:ind w:right="2752"/>
        <w:jc w:val="center"/>
        <w:rPr>
          <w:rFonts w:ascii="Arial"/>
          <w:sz w:val="20"/>
        </w:rPr>
      </w:pPr>
      <w:r>
        <w:rPr>
          <w:rFonts w:ascii="Arial"/>
          <w:sz w:val="14"/>
        </w:rPr>
        <w:t xml:space="preserve">                                                                                    Email: </w:t>
      </w:r>
      <w:r>
        <w:fldChar w:fldCharType="begin"/>
      </w:r>
      <w:r>
        <w:instrText xml:space="preserve"> HYPERLINK "mailto:drXXXXXXX@xxxmail.com" </w:instrText>
      </w:r>
      <w:r>
        <w:fldChar w:fldCharType="separate"/>
      </w:r>
      <w:r>
        <w:rPr>
          <w:rStyle w:val="11"/>
          <w:rFonts w:hint="eastAsia" w:ascii="Arial" w:eastAsia="宋体"/>
          <w:sz w:val="14"/>
          <w:lang w:val="en-US" w:eastAsia="zh-CN"/>
        </w:rPr>
        <w:t>862538312</w:t>
      </w:r>
      <w:r>
        <w:rPr>
          <w:rStyle w:val="11"/>
          <w:rFonts w:ascii="Arial"/>
          <w:sz w:val="14"/>
        </w:rPr>
        <w:t>@</w:t>
      </w:r>
      <w:r>
        <w:rPr>
          <w:rStyle w:val="11"/>
          <w:rFonts w:hint="eastAsia" w:ascii="Arial" w:eastAsia="宋体"/>
          <w:sz w:val="14"/>
          <w:lang w:val="en-US" w:eastAsia="zh-CN"/>
        </w:rPr>
        <w:t>qq</w:t>
      </w:r>
      <w:r>
        <w:rPr>
          <w:rStyle w:val="11"/>
          <w:rFonts w:ascii="Arial"/>
          <w:sz w:val="14"/>
        </w:rPr>
        <w:t>.com</w:t>
      </w:r>
      <w:r>
        <w:rPr>
          <w:rStyle w:val="11"/>
          <w:rFonts w:ascii="Arial"/>
          <w:sz w:val="14"/>
        </w:rPr>
        <w:fldChar w:fldCharType="end"/>
      </w:r>
      <w:r>
        <w:rPr>
          <w:rStyle w:val="11"/>
          <w:rFonts w:ascii="Arial"/>
          <w:sz w:val="14"/>
        </w:rPr>
        <w:t xml:space="preserve"> </w:t>
      </w:r>
      <w:r>
        <w:rPr>
          <w:rStyle w:val="11"/>
          <w:rFonts w:ascii="Arial"/>
          <w:sz w:val="14"/>
          <w:u w:val="none"/>
        </w:rPr>
        <w:t xml:space="preserve">    </w:t>
      </w:r>
      <w:r>
        <w:rPr>
          <w:rStyle w:val="11"/>
          <w:rFonts w:ascii="Arial"/>
          <w:color w:val="auto"/>
          <w:sz w:val="14"/>
          <w:u w:val="none"/>
        </w:rPr>
        <w:t>Contact No</w:t>
      </w:r>
      <w:r>
        <w:rPr>
          <w:rStyle w:val="11"/>
          <w:rFonts w:ascii="Arial"/>
          <w:sz w:val="14"/>
          <w:u w:val="none"/>
        </w:rPr>
        <w:t xml:space="preserve">: </w:t>
      </w:r>
      <w:r>
        <w:rPr>
          <w:rStyle w:val="11"/>
          <w:rFonts w:hint="eastAsia" w:ascii="Arial" w:eastAsia="宋体"/>
          <w:sz w:val="14"/>
          <w:u w:val="none"/>
          <w:lang w:val="en-US" w:eastAsia="zh-CN"/>
        </w:rPr>
        <w:t>086-15980287558</w:t>
      </w: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spacing w:before="39"/>
        <w:rPr>
          <w:rFonts w:ascii="Minion Pro"/>
          <w:b/>
          <w:sz w:val="20"/>
        </w:rPr>
      </w:pPr>
      <w:r>
        <w:rPr>
          <w:rFonts w:ascii="Minion Pro"/>
          <w:b/>
          <w:sz w:val="20"/>
        </w:rPr>
        <w:t>Notes/Comments:</w:t>
      </w:r>
    </w:p>
    <w:p>
      <w:pPr>
        <w:spacing w:before="41" w:line="154" w:lineRule="exact"/>
        <w:ind w:left="213" w:right="231"/>
        <w:jc w:val="both"/>
        <w:rPr>
          <w:rFonts w:hint="eastAsia" w:ascii="Arial" w:eastAsia="宋体"/>
          <w:sz w:val="14"/>
          <w:lang w:val="en-US" w:eastAsia="zh-CN"/>
        </w:rPr>
      </w:pPr>
      <w:r>
        <w:rPr>
          <w:rFonts w:hint="default" w:ascii="Arial" w:eastAsia="宋体"/>
          <w:sz w:val="14"/>
          <w:lang w:val="en-US" w:eastAsia="zh-CN"/>
        </w:rPr>
        <w:t>‘</w:t>
      </w:r>
      <w:r>
        <w:rPr>
          <w:rFonts w:hint="eastAsia" w:ascii="Arial" w:eastAsia="宋体"/>
          <w:sz w:val="14"/>
          <w:lang w:val="en-US" w:eastAsia="zh-CN"/>
        </w:rPr>
        <w:t>*</w:t>
      </w:r>
      <w:r>
        <w:rPr>
          <w:rFonts w:hint="default" w:ascii="Arial" w:eastAsia="宋体"/>
          <w:sz w:val="14"/>
          <w:lang w:val="en-US" w:eastAsia="zh-CN"/>
        </w:rPr>
        <w:t>’</w:t>
      </w:r>
      <w:r>
        <w:rPr>
          <w:rFonts w:hint="eastAsia" w:ascii="Arial" w:eastAsia="宋体"/>
          <w:sz w:val="14"/>
          <w:lang w:val="en-US" w:eastAsia="zh-CN"/>
        </w:rPr>
        <w:t xml:space="preserve"> presented that the author was the correspondi</w:t>
      </w:r>
      <w:bookmarkStart w:id="5" w:name="_GoBack"/>
      <w:bookmarkEnd w:id="5"/>
      <w:r>
        <w:rPr>
          <w:rFonts w:hint="eastAsia" w:ascii="Arial" w:eastAsia="宋体"/>
          <w:sz w:val="14"/>
          <w:lang w:val="en-US" w:eastAsia="zh-CN"/>
        </w:rPr>
        <w:t>ng author</w:t>
      </w:r>
    </w:p>
    <w:p>
      <w:pPr>
        <w:spacing w:before="41" w:line="154" w:lineRule="exact"/>
        <w:ind w:left="213" w:right="231"/>
        <w:jc w:val="both"/>
        <w:rPr>
          <w:rFonts w:hint="eastAsia" w:ascii="Arial" w:eastAsia="宋体"/>
          <w:sz w:val="14"/>
          <w:lang w:val="en-US" w:eastAsia="zh-CN"/>
        </w:rPr>
        <w:sectPr>
          <w:type w:val="continuous"/>
          <w:pgSz w:w="11910" w:h="16840"/>
          <w:pgMar w:top="1740" w:right="600" w:bottom="840" w:left="620" w:header="720" w:footer="720" w:gutter="0"/>
          <w:cols w:space="720" w:num="1"/>
        </w:sectPr>
      </w:pPr>
      <w:r>
        <w:rPr>
          <w:rFonts w:hint="eastAsia" w:ascii="Arial" w:eastAsia="宋体"/>
          <w:sz w:val="14"/>
          <w:lang w:val="en-US" w:eastAsia="zh-CN"/>
        </w:rPr>
        <w:t>of this abstract.</w:t>
      </w: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A00002EF" w:usb1="420020EB" w:usb2="00000000" w:usb3="00000000" w:csb0="2000019F" w:csb1="00000000"/>
  </w:font>
  <w:font w:name="Corbel">
    <w:panose1 w:val="020B0503020204020204"/>
    <w:charset w:val="00"/>
    <w:family w:val="auto"/>
    <w:pitch w:val="default"/>
    <w:sig w:usb0="A00002EF" w:usb1="4000A44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Calibri Light">
    <w:altName w:val="Calibri"/>
    <w:panose1 w:val="00000000000000000000"/>
    <w:charset w:val="00"/>
    <w:family w:val="auto"/>
    <w:pitch w:val="default"/>
    <w:sig w:usb0="00000000" w:usb1="00000000" w:usb2="00000000" w:usb3="00000000" w:csb0="2000019F" w:csb1="00000000"/>
  </w:font>
  <w:font w:name="DLF-3-4-156650620+ZBBGxw-1233">
    <w:altName w:val="宋体"/>
    <w:panose1 w:val="00000000000000000000"/>
    <w:charset w:val="86"/>
    <w:family w:val="auto"/>
    <w:pitch w:val="default"/>
    <w:sig w:usb0="00000000" w:usb1="00000000" w:usb2="00000000" w:usb3="00000000" w:csb0="0004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24FA2"/>
    <w:rsid w:val="00F72EEA"/>
    <w:rsid w:val="00F84CAE"/>
    <w:rsid w:val="01877E4E"/>
    <w:rsid w:val="027F03E9"/>
    <w:rsid w:val="146B1F16"/>
    <w:rsid w:val="149F38A2"/>
    <w:rsid w:val="15723983"/>
    <w:rsid w:val="19D33DA3"/>
    <w:rsid w:val="1BAE5620"/>
    <w:rsid w:val="1BD048B5"/>
    <w:rsid w:val="1CAA7A6C"/>
    <w:rsid w:val="2580660C"/>
    <w:rsid w:val="25964A8D"/>
    <w:rsid w:val="26031BEB"/>
    <w:rsid w:val="2B205BDF"/>
    <w:rsid w:val="308E0E81"/>
    <w:rsid w:val="3316410C"/>
    <w:rsid w:val="39E24795"/>
    <w:rsid w:val="3CF309B4"/>
    <w:rsid w:val="446B0FA5"/>
    <w:rsid w:val="48A0440F"/>
    <w:rsid w:val="4FE717B6"/>
    <w:rsid w:val="5236137D"/>
    <w:rsid w:val="55B5247B"/>
    <w:rsid w:val="563173E4"/>
    <w:rsid w:val="567069FA"/>
    <w:rsid w:val="596D6CA7"/>
    <w:rsid w:val="5F9A6FD5"/>
    <w:rsid w:val="72444745"/>
    <w:rsid w:val="7EEA19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5">
    <w:name w:val="Body Text"/>
    <w:basedOn w:val="1"/>
    <w:link w:val="18"/>
    <w:qFormat/>
    <w:uiPriority w:val="1"/>
    <w:rPr>
      <w:sz w:val="18"/>
      <w:szCs w:val="18"/>
    </w:rPr>
  </w:style>
  <w:style w:type="paragraph" w:styleId="6">
    <w:name w:val="Balloon Text"/>
    <w:basedOn w:val="1"/>
    <w:link w:val="17"/>
    <w:unhideWhenUsed/>
    <w:qFormat/>
    <w:uiPriority w:val="99"/>
    <w:rPr>
      <w:rFonts w:ascii="Tahoma" w:hAnsi="Tahoma" w:cs="Tahoma"/>
      <w:sz w:val="16"/>
      <w:szCs w:val="16"/>
    </w:rPr>
  </w:style>
  <w:style w:type="paragraph" w:styleId="7">
    <w:name w:val="footer"/>
    <w:basedOn w:val="1"/>
    <w:link w:val="16"/>
    <w:unhideWhenUsed/>
    <w:qFormat/>
    <w:uiPriority w:val="99"/>
    <w:pPr>
      <w:tabs>
        <w:tab w:val="center" w:pos="4513"/>
        <w:tab w:val="right" w:pos="9026"/>
      </w:tabs>
    </w:pPr>
  </w:style>
  <w:style w:type="paragraph" w:styleId="8">
    <w:name w:val="header"/>
    <w:basedOn w:val="1"/>
    <w:link w:val="15"/>
    <w:unhideWhenUsed/>
    <w:qFormat/>
    <w:uiPriority w:val="99"/>
    <w:pPr>
      <w:tabs>
        <w:tab w:val="center" w:pos="4513"/>
        <w:tab w:val="right" w:pos="9026"/>
      </w:tabs>
    </w:pPr>
  </w:style>
  <w:style w:type="paragraph" w:styleId="9">
    <w:name w:val="Normal (Web)"/>
    <w:basedOn w:val="1"/>
    <w:unhideWhenUsed/>
    <w:uiPriority w:val="99"/>
    <w:pPr>
      <w:spacing w:beforeAutospacing="1" w:afterAutospacing="1"/>
      <w:jc w:val="left"/>
    </w:pPr>
    <w:rPr>
      <w:kern w:val="0"/>
      <w:sz w:val="24"/>
    </w:r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10"/>
    <w:link w:val="8"/>
    <w:qFormat/>
    <w:uiPriority w:val="99"/>
    <w:rPr>
      <w:rFonts w:ascii="Tw Cen MT" w:hAnsi="Tw Cen MT" w:eastAsia="Tw Cen MT" w:cs="Tw Cen MT"/>
    </w:rPr>
  </w:style>
  <w:style w:type="character" w:customStyle="1" w:styleId="16">
    <w:name w:val="Footer Char"/>
    <w:basedOn w:val="10"/>
    <w:link w:val="7"/>
    <w:qFormat/>
    <w:uiPriority w:val="99"/>
    <w:rPr>
      <w:rFonts w:ascii="Tw Cen MT" w:hAnsi="Tw Cen MT" w:eastAsia="Tw Cen MT" w:cs="Tw Cen MT"/>
    </w:rPr>
  </w:style>
  <w:style w:type="character" w:customStyle="1" w:styleId="17">
    <w:name w:val="Balloon Text Char"/>
    <w:basedOn w:val="10"/>
    <w:link w:val="6"/>
    <w:semiHidden/>
    <w:uiPriority w:val="99"/>
    <w:rPr>
      <w:rFonts w:ascii="Tahoma" w:hAnsi="Tahoma" w:eastAsia="Tw Cen MT" w:cs="Tahoma"/>
      <w:sz w:val="16"/>
      <w:szCs w:val="16"/>
    </w:rPr>
  </w:style>
  <w:style w:type="character" w:customStyle="1" w:styleId="18">
    <w:name w:val="Body Text Char"/>
    <w:basedOn w:val="10"/>
    <w:link w:val="5"/>
    <w:qFormat/>
    <w:uiPriority w:val="1"/>
    <w:rPr>
      <w:rFonts w:ascii="Tw Cen MT" w:hAnsi="Tw Cen MT" w:eastAsia="Tw Cen MT" w:cs="Tw Cen MT"/>
      <w:sz w:val="18"/>
      <w:szCs w:val="18"/>
    </w:rPr>
  </w:style>
  <w:style w:type="character" w:customStyle="1" w:styleId="19">
    <w:name w:val="font01"/>
    <w:basedOn w:val="10"/>
    <w:uiPriority w:val="99"/>
    <w:rPr>
      <w:rFonts w:ascii="Arial" w:hAnsi="Arial" w:cs="Arial"/>
      <w:color w:val="000000"/>
      <w:sz w:val="19"/>
      <w:szCs w:val="19"/>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566</Words>
  <Characters>3227</Characters>
  <Lines>26</Lines>
  <Paragraphs>7</Paragraphs>
  <ScaleCrop>false</ScaleCrop>
  <LinksUpToDate>false</LinksUpToDate>
  <CharactersWithSpaces>3786</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cp:lastModifiedBy>cpm</cp:lastModifiedBy>
  <dcterms:modified xsi:type="dcterms:W3CDTF">2017-12-01T13:56:34Z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2052-10.1.0.7023</vt:lpwstr>
  </property>
</Properties>
</file>