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70"/>
        <w:ind w:left="0"/>
        <w:rPr>
          <w:rFonts w:ascii="Arial"/>
          <w:sz w:val="20"/>
        </w:rPr>
      </w:pPr>
      <w:r>
        <w:rPr>
          <w:rFonts w:hint="eastAsia"/>
          <w:color w:val="337AB7"/>
        </w:rPr>
        <w:t xml:space="preserve">Field survey of </w:t>
      </w:r>
      <w:r>
        <w:rPr>
          <w:rFonts w:hint="eastAsia"/>
          <w:i/>
          <w:iCs/>
          <w:color w:val="337AB7"/>
        </w:rPr>
        <w:t>Drosophila suzukii</w:t>
      </w:r>
      <w:r>
        <w:rPr>
          <w:rFonts w:hint="eastAsia"/>
          <w:color w:val="337AB7"/>
        </w:rPr>
        <w:t xml:space="preserve"> and its potential classical biological agents in  waxberry orchards from Fujian, China</w:t>
      </w:r>
    </w:p>
    <w:p>
      <w:pPr>
        <w:pStyle w:val="5"/>
        <w:rPr>
          <w:rFonts w:hint="eastAsia" w:ascii="Arial" w:eastAsia="宋体"/>
          <w:lang w:val="en-US" w:eastAsia="zh-CN"/>
        </w:rPr>
      </w:pPr>
      <w:r>
        <w:rPr>
          <w:rFonts w:hint="eastAsia" w:ascii="Arial" w:eastAsia="宋体"/>
          <w:lang w:val="en-US" w:eastAsia="zh-CN"/>
        </w:rPr>
        <w:t>Pumo Cai</w:t>
      </w:r>
      <w:r>
        <w:rPr>
          <w:rFonts w:ascii="Arial"/>
        </w:rPr>
        <w:t>,</w:t>
      </w:r>
      <w:r>
        <w:rPr>
          <w:rFonts w:hint="eastAsia" w:ascii="Arial" w:eastAsia="宋体"/>
          <w:lang w:val="en-US" w:eastAsia="zh-CN"/>
        </w:rPr>
        <w:t xml:space="preserve"> Agri.</w:t>
      </w:r>
      <w:r>
        <w:rPr>
          <w:rFonts w:ascii="Arial"/>
        </w:rPr>
        <w:t xml:space="preserve"> </w:t>
      </w:r>
      <w:r>
        <w:rPr>
          <w:rFonts w:hint="eastAsia" w:ascii="Arial" w:eastAsia="宋体"/>
          <w:lang w:val="en-US" w:eastAsia="zh-CN"/>
        </w:rPr>
        <w:t xml:space="preserve">Ent </w:t>
      </w:r>
      <w:r>
        <w:rPr>
          <w:rFonts w:ascii="Arial"/>
        </w:rPr>
        <w:t xml:space="preserve">PhD, </w:t>
      </w:r>
      <w:bookmarkStart w:id="0" w:name="OLE_LINK1"/>
      <w:r>
        <w:rPr>
          <w:rFonts w:hint="eastAsia" w:ascii="Arial" w:eastAsia="宋体"/>
          <w:lang w:val="en-US" w:eastAsia="zh-CN"/>
        </w:rPr>
        <w:t>Institute of Beneficial Insects</w:t>
      </w:r>
      <w:r>
        <w:rPr>
          <w:rFonts w:ascii="Arial"/>
        </w:rPr>
        <w:t>,</w:t>
      </w:r>
      <w:bookmarkEnd w:id="0"/>
      <w:r>
        <w:rPr>
          <w:rFonts w:ascii="Arial"/>
        </w:rPr>
        <w:t xml:space="preserve"> </w:t>
      </w:r>
      <w:r>
        <w:rPr>
          <w:rFonts w:hint="eastAsia" w:ascii="Arial" w:eastAsia="宋体"/>
          <w:lang w:val="en-US" w:eastAsia="zh-CN"/>
        </w:rPr>
        <w:t xml:space="preserve">Fujian  Agriculture and Forestry University, China </w:t>
      </w:r>
    </w:p>
    <w:p>
      <w:pPr>
        <w:pStyle w:val="5"/>
        <w:rPr>
          <w:rFonts w:hint="eastAsia" w:ascii="Arial" w:eastAsia="宋体"/>
          <w:lang w:val="en-US" w:eastAsia="zh-CN"/>
        </w:rPr>
      </w:pPr>
      <w:r>
        <w:rPr>
          <w:rFonts w:hint="eastAsia" w:ascii="Arial" w:eastAsia="宋体"/>
          <w:lang w:val="en-US" w:eastAsia="zh-CN"/>
        </w:rPr>
        <w:t>Chuandong, Yi</w:t>
      </w:r>
      <w:r>
        <w:rPr>
          <w:rFonts w:ascii="Arial"/>
        </w:rPr>
        <w:t xml:space="preserve">, </w:t>
      </w:r>
      <w:r>
        <w:rPr>
          <w:rFonts w:hint="eastAsia" w:ascii="Arial" w:eastAsia="宋体"/>
          <w:lang w:val="en-US" w:eastAsia="zh-CN"/>
        </w:rPr>
        <w:t>Agri.</w:t>
      </w:r>
      <w:r>
        <w:rPr>
          <w:rFonts w:ascii="Arial"/>
        </w:rPr>
        <w:t xml:space="preserve"> </w:t>
      </w:r>
      <w:r>
        <w:rPr>
          <w:rFonts w:hint="eastAsia" w:ascii="Arial" w:eastAsia="宋体"/>
          <w:lang w:val="en-US" w:eastAsia="zh-CN"/>
        </w:rPr>
        <w:t>Ent M.Sc</w:t>
      </w:r>
      <w:r>
        <w:rPr>
          <w:rFonts w:ascii="Arial"/>
        </w:rPr>
        <w:t xml:space="preserve">, </w:t>
      </w:r>
      <w:r>
        <w:rPr>
          <w:rFonts w:hint="eastAsia" w:ascii="Arial" w:eastAsia="宋体"/>
          <w:lang w:val="en-US" w:eastAsia="zh-CN"/>
        </w:rPr>
        <w:t>Institute of Beneficial Insects</w:t>
      </w:r>
      <w:r>
        <w:rPr>
          <w:rFonts w:ascii="Arial"/>
        </w:rPr>
        <w:t>,</w:t>
      </w:r>
      <w:r>
        <w:rPr>
          <w:rFonts w:hint="eastAsia" w:ascii="Arial" w:eastAsia="宋体"/>
          <w:lang w:val="en-US" w:eastAsia="zh-CN"/>
        </w:rPr>
        <w:t xml:space="preserve">Fujian Agriculture and Forestry University,China </w:t>
      </w:r>
    </w:p>
    <w:p>
      <w:pPr>
        <w:pStyle w:val="5"/>
        <w:rPr>
          <w:rFonts w:hint="eastAsia" w:ascii="Arial" w:eastAsia="宋体"/>
          <w:lang w:val="en-US" w:eastAsia="zh-CN"/>
        </w:rPr>
      </w:pPr>
      <w:r>
        <w:rPr>
          <w:rFonts w:hint="eastAsia" w:ascii="Arial" w:eastAsia="宋体"/>
          <w:lang w:val="en-US" w:eastAsia="zh-CN"/>
        </w:rPr>
        <w:t>Cong Wang, Agri.</w:t>
      </w:r>
      <w:r>
        <w:rPr>
          <w:rFonts w:ascii="Arial"/>
        </w:rPr>
        <w:t xml:space="preserve"> </w:t>
      </w:r>
      <w:r>
        <w:rPr>
          <w:rFonts w:hint="eastAsia" w:ascii="Arial" w:eastAsia="宋体"/>
          <w:lang w:val="en-US" w:eastAsia="zh-CN"/>
        </w:rPr>
        <w:t>Ent M.Sc, Institute of Beneficial Insects</w:t>
      </w:r>
      <w:r>
        <w:rPr>
          <w:rFonts w:ascii="Arial"/>
        </w:rPr>
        <w:t>,</w:t>
      </w:r>
      <w:r>
        <w:rPr>
          <w:rFonts w:hint="eastAsia" w:ascii="Arial" w:eastAsia="宋体"/>
          <w:lang w:val="en-US" w:eastAsia="zh-CN"/>
        </w:rPr>
        <w:t>Fujian Agriculture and Forestry University,China</w:t>
      </w:r>
    </w:p>
    <w:p>
      <w:pPr>
        <w:pStyle w:val="5"/>
        <w:rPr>
          <w:rFonts w:hint="eastAsia" w:ascii="Arial" w:eastAsia="宋体"/>
          <w:lang w:val="en-US" w:eastAsia="zh-CN"/>
        </w:rPr>
      </w:pPr>
      <w:r>
        <w:rPr>
          <w:rFonts w:hint="eastAsia" w:ascii="Arial" w:eastAsia="宋体"/>
          <w:lang w:val="en-US" w:eastAsia="zh-CN"/>
        </w:rPr>
        <w:t>Houjun Xiang, Agri.</w:t>
      </w:r>
      <w:r>
        <w:rPr>
          <w:rFonts w:ascii="Arial"/>
        </w:rPr>
        <w:t xml:space="preserve"> </w:t>
      </w:r>
      <w:r>
        <w:rPr>
          <w:rFonts w:hint="eastAsia" w:ascii="Arial" w:eastAsia="宋体"/>
          <w:lang w:val="en-US" w:eastAsia="zh-CN"/>
        </w:rPr>
        <w:t>Ent M.Sc,Institute of Beneficial Insects</w:t>
      </w:r>
      <w:r>
        <w:rPr>
          <w:rFonts w:ascii="Arial"/>
        </w:rPr>
        <w:t>,</w:t>
      </w:r>
      <w:r>
        <w:rPr>
          <w:rFonts w:hint="eastAsia" w:ascii="Arial" w:eastAsia="宋体"/>
          <w:lang w:val="en-US" w:eastAsia="zh-CN"/>
        </w:rPr>
        <w:t>Fujian Agriculture and Forestry University,China</w:t>
      </w:r>
    </w:p>
    <w:p>
      <w:pPr>
        <w:pStyle w:val="5"/>
        <w:rPr>
          <w:rFonts w:hint="eastAsia" w:ascii="Arial" w:eastAsia="宋体"/>
          <w:lang w:val="en-US" w:eastAsia="zh-CN"/>
        </w:rPr>
      </w:pPr>
      <w:r>
        <w:rPr>
          <w:rFonts w:hint="eastAsia" w:ascii="Arial" w:eastAsia="宋体"/>
          <w:lang w:val="en-US" w:eastAsia="zh-CN"/>
        </w:rPr>
        <w:t>Qinge Ji, Prof.,Institute of Beneficial Insects</w:t>
      </w:r>
      <w:r>
        <w:rPr>
          <w:rFonts w:ascii="Arial"/>
        </w:rPr>
        <w:t>,</w:t>
      </w:r>
      <w:r>
        <w:rPr>
          <w:rFonts w:hint="eastAsia" w:ascii="Arial" w:eastAsia="宋体"/>
          <w:lang w:val="en-US" w:eastAsia="zh-CN"/>
        </w:rPr>
        <w:t>Fujian Agriculture and Forestry University,China</w:t>
      </w:r>
    </w:p>
    <w:p>
      <w:pPr>
        <w:pStyle w:val="5"/>
        <w:rPr>
          <w:rFonts w:hint="eastAsia" w:ascii="Arial" w:eastAsia="宋体"/>
          <w:lang w:val="en-US" w:eastAsia="zh-CN"/>
        </w:rPr>
      </w:pPr>
      <w:r>
        <w:rPr>
          <w:rFonts w:hint="eastAsia" w:ascii="Arial" w:eastAsia="宋体"/>
          <w:lang w:val="en-US" w:eastAsia="zh-CN"/>
        </w:rPr>
        <w:t>Jiahua Chen, Prof., Institute of Beneficial Insects</w:t>
      </w:r>
      <w:r>
        <w:rPr>
          <w:rFonts w:ascii="Arial"/>
        </w:rPr>
        <w:t>,</w:t>
      </w:r>
      <w:r>
        <w:rPr>
          <w:rFonts w:hint="eastAsia" w:ascii="Arial" w:eastAsia="宋体"/>
          <w:lang w:val="en-US" w:eastAsia="zh-CN"/>
        </w:rPr>
        <w:t>Fujian Agriculture and Forestry University,China</w:t>
      </w:r>
    </w:p>
    <w:p>
      <w:pPr>
        <w:rPr>
          <w:rFonts w:ascii="Arial"/>
          <w:sz w:val="21"/>
        </w:rPr>
        <w:sectPr>
          <w:headerReference r:id="rId3" w:type="default"/>
          <w:footerReference r:id="rId4" w:type="default"/>
          <w:type w:val="continuous"/>
          <w:pgSz w:w="11910" w:h="16840"/>
          <w:pgMar w:top="1740" w:right="600" w:bottom="840" w:left="620" w:header="541" w:footer="642" w:gutter="0"/>
          <w:cols w:space="720" w:num="1"/>
        </w:sectPr>
      </w:pPr>
    </w:p>
    <w:p>
      <w:pPr>
        <w:pStyle w:val="4"/>
        <w:spacing w:before="147"/>
        <w:jc w:val="both"/>
      </w:pPr>
      <w:r>
        <w:rPr>
          <w:color w:val="BF5A14"/>
        </w:rPr>
        <w:t>Abstract (300 word limit)</w:t>
      </w:r>
    </w:p>
    <w:p>
      <w:pPr>
        <w:pStyle w:val="5"/>
        <w:spacing w:before="90" w:line="280" w:lineRule="auto"/>
        <w:ind w:left="100"/>
        <w:jc w:val="both"/>
      </w:pPr>
      <w:r>
        <w:rPr>
          <w:rFonts w:hint="eastAsia" w:eastAsia="宋体"/>
          <w:lang w:val="en-US" w:eastAsia="zh-CN"/>
        </w:rPr>
        <w:t xml:space="preserve">The vinegar fly </w:t>
      </w:r>
      <w:r>
        <w:rPr>
          <w:rFonts w:hint="eastAsia" w:eastAsia="宋体"/>
          <w:i/>
          <w:iCs/>
          <w:lang w:val="en-US" w:eastAsia="zh-CN"/>
        </w:rPr>
        <w:t xml:space="preserve">Drosophila suzukii </w:t>
      </w:r>
      <w:r>
        <w:rPr>
          <w:rFonts w:hint="eastAsia" w:eastAsia="宋体"/>
          <w:i w:val="0"/>
          <w:iCs w:val="0"/>
          <w:lang w:val="en-US" w:eastAsia="zh-CN"/>
        </w:rPr>
        <w:t xml:space="preserve">Matsumura (Diptera: Drosophilidae), spotted wing drosophila (SWD), originally from Southeast Asia, is a relatively new invasive pest in Europe and America attacking a wide range of small and stone fruits. Female </w:t>
      </w:r>
      <w:r>
        <w:rPr>
          <w:rFonts w:hint="eastAsia" w:eastAsia="宋体"/>
          <w:i/>
          <w:iCs/>
          <w:lang w:val="en-US" w:eastAsia="zh-CN"/>
        </w:rPr>
        <w:t xml:space="preserve">D. suzukii </w:t>
      </w:r>
      <w:r>
        <w:rPr>
          <w:rFonts w:hint="eastAsia" w:eastAsia="宋体"/>
          <w:i w:val="0"/>
          <w:iCs w:val="0"/>
          <w:lang w:val="en-US" w:eastAsia="zh-CN"/>
        </w:rPr>
        <w:t xml:space="preserve">possess a highly sclerotized and serrated ovipositor that allows them to successfully infect </w:t>
      </w:r>
      <w:bookmarkStart w:id="4" w:name="_GoBack"/>
      <w:bookmarkEnd w:id="4"/>
      <w:r>
        <w:rPr>
          <w:rFonts w:hint="eastAsia" w:eastAsia="宋体"/>
          <w:i w:val="0"/>
          <w:iCs w:val="0"/>
          <w:lang w:val="en-US" w:eastAsia="zh-CN"/>
        </w:rPr>
        <w:t xml:space="preserve">ripening pre-harvest fruits, unlike most other species of Drosophilidae. The published literature about </w:t>
      </w:r>
      <w:r>
        <w:rPr>
          <w:rFonts w:hint="eastAsia" w:eastAsia="宋体"/>
          <w:i/>
          <w:iCs/>
          <w:lang w:val="en-US" w:eastAsia="zh-CN"/>
        </w:rPr>
        <w:t xml:space="preserve">D. suzukii </w:t>
      </w:r>
      <w:r>
        <w:rPr>
          <w:rFonts w:hint="eastAsia" w:eastAsia="宋体"/>
          <w:i w:val="0"/>
          <w:iCs w:val="0"/>
          <w:lang w:val="en-US" w:eastAsia="zh-CN"/>
        </w:rPr>
        <w:t xml:space="preserve">infesting healthy fruit in China is scarce expect Shandong, Shaanxi and Yunnan province. A specific survey for </w:t>
      </w:r>
      <w:r>
        <w:rPr>
          <w:rFonts w:hint="eastAsia" w:eastAsia="宋体"/>
          <w:i/>
          <w:iCs/>
          <w:lang w:val="en-US" w:eastAsia="zh-CN"/>
        </w:rPr>
        <w:t xml:space="preserve">D. suzukii </w:t>
      </w:r>
      <w:r>
        <w:rPr>
          <w:rFonts w:hint="eastAsia" w:eastAsia="宋体"/>
          <w:i w:val="0"/>
          <w:iCs w:val="0"/>
          <w:lang w:val="en-US" w:eastAsia="zh-CN"/>
        </w:rPr>
        <w:t xml:space="preserve">in four different </w:t>
      </w:r>
      <w:r>
        <w:rPr>
          <w:rFonts w:hint="eastAsia" w:eastAsia="宋体"/>
          <w:lang w:val="en-US" w:eastAsia="zh-CN"/>
        </w:rPr>
        <w:t>waxberry (</w:t>
      </w:r>
      <w:r>
        <w:rPr>
          <w:rFonts w:hint="eastAsia" w:eastAsia="宋体"/>
          <w:i/>
          <w:iCs/>
          <w:lang w:val="en-US" w:eastAsia="zh-CN"/>
        </w:rPr>
        <w:t>Myrica rubra</w:t>
      </w:r>
      <w:r>
        <w:rPr>
          <w:rFonts w:hint="eastAsia" w:eastAsia="宋体"/>
          <w:lang w:val="en-US" w:eastAsia="zh-CN"/>
        </w:rPr>
        <w:t xml:space="preserve"> ) orchards </w:t>
      </w:r>
      <w:r>
        <w:rPr>
          <w:rFonts w:hint="eastAsia" w:eastAsia="宋体"/>
          <w:i w:val="0"/>
          <w:iCs w:val="0"/>
          <w:lang w:val="en-US" w:eastAsia="zh-CN"/>
        </w:rPr>
        <w:t xml:space="preserve">from Fujian province of China during 2017, confirmed that this pest is widespread in these four main berry-producing regions including Fuzhou, Longhai, Changting, Jianyang. During the fruit maturation period, the population dynamics of </w:t>
      </w:r>
      <w:r>
        <w:rPr>
          <w:rFonts w:hint="eastAsia" w:eastAsia="宋体"/>
          <w:i/>
          <w:iCs/>
          <w:lang w:val="en-US" w:eastAsia="zh-CN"/>
        </w:rPr>
        <w:t>D. suzukii</w:t>
      </w:r>
      <w:r>
        <w:rPr>
          <w:rFonts w:hint="eastAsia" w:eastAsia="宋体"/>
          <w:i w:val="0"/>
          <w:iCs w:val="0"/>
          <w:lang w:val="en-US" w:eastAsia="zh-CN"/>
        </w:rPr>
        <w:t xml:space="preserve"> adults in </w:t>
      </w:r>
      <w:r>
        <w:rPr>
          <w:rFonts w:hint="eastAsia" w:eastAsia="宋体"/>
          <w:lang w:val="en-US" w:eastAsia="zh-CN"/>
        </w:rPr>
        <w:t xml:space="preserve">waxberry orchards from </w:t>
      </w:r>
      <w:r>
        <w:rPr>
          <w:rFonts w:hint="eastAsia" w:eastAsia="宋体"/>
          <w:i w:val="0"/>
          <w:iCs w:val="0"/>
          <w:lang w:val="en-US" w:eastAsia="zh-CN"/>
        </w:rPr>
        <w:t xml:space="preserve">Fuzhou district in 2016 and 2017 was detected. This confirmed that the population peaks of </w:t>
      </w:r>
      <w:r>
        <w:rPr>
          <w:rFonts w:hint="eastAsia" w:eastAsia="宋体"/>
          <w:i/>
          <w:iCs/>
          <w:lang w:val="en-US" w:eastAsia="zh-CN"/>
        </w:rPr>
        <w:t xml:space="preserve">D. suzukii </w:t>
      </w:r>
      <w:r>
        <w:rPr>
          <w:rFonts w:hint="eastAsia" w:eastAsia="宋体"/>
          <w:i w:val="0"/>
          <w:iCs w:val="0"/>
          <w:lang w:val="en-US" w:eastAsia="zh-CN"/>
        </w:rPr>
        <w:t xml:space="preserve">were associated with the maturation of waxberry. The number of </w:t>
      </w:r>
      <w:r>
        <w:rPr>
          <w:rFonts w:hint="eastAsia" w:eastAsia="宋体"/>
          <w:i/>
          <w:iCs/>
          <w:lang w:val="en-US" w:eastAsia="zh-CN"/>
        </w:rPr>
        <w:t xml:space="preserve">D. suzukii </w:t>
      </w:r>
      <w:r>
        <w:rPr>
          <w:rFonts w:hint="eastAsia" w:eastAsia="宋体"/>
          <w:i w:val="0"/>
          <w:iCs w:val="0"/>
          <w:lang w:val="en-US" w:eastAsia="zh-CN"/>
        </w:rPr>
        <w:t xml:space="preserve">catches was highest on middle and late May, when waxberry become ripe. Moreover, potential classical biological agents against </w:t>
      </w:r>
      <w:r>
        <w:rPr>
          <w:rFonts w:hint="eastAsia" w:eastAsia="宋体"/>
          <w:i/>
          <w:iCs/>
          <w:lang w:val="en-US" w:eastAsia="zh-CN"/>
        </w:rPr>
        <w:t>D. suzukii,</w:t>
      </w:r>
      <w:r>
        <w:rPr>
          <w:rFonts w:hint="eastAsia" w:eastAsia="宋体"/>
          <w:i w:val="0"/>
          <w:iCs w:val="0"/>
          <w:lang w:val="en-US" w:eastAsia="zh-CN"/>
        </w:rPr>
        <w:t xml:space="preserve"> such as parasitoids were detected in homemade traps with SWD-infected bananas suspended in waxberry trees, where traps were placed in four regions mentioned above. </w:t>
      </w:r>
      <w:r>
        <w:rPr>
          <w:rFonts w:hint="eastAsia" w:eastAsia="宋体"/>
          <w:i/>
          <w:iCs/>
          <w:lang w:val="en-US" w:eastAsia="zh-CN"/>
        </w:rPr>
        <w:t>Leptopilina japonica</w:t>
      </w:r>
      <w:r>
        <w:rPr>
          <w:rFonts w:hint="eastAsia" w:eastAsia="宋体"/>
          <w:i w:val="0"/>
          <w:iCs w:val="0"/>
          <w:lang w:val="en-US" w:eastAsia="zh-CN"/>
        </w:rPr>
        <w:t xml:space="preserve"> females (Hymenoptera: Figitidae) and two species of Alysiinae (Hymenoptera: Braconidae) were collected from Fuzhou and Longhai. Under laboratory conditions, we found that </w:t>
      </w:r>
      <w:r>
        <w:rPr>
          <w:rFonts w:hint="eastAsia" w:eastAsia="宋体"/>
          <w:i/>
          <w:iCs/>
          <w:lang w:val="en-US" w:eastAsia="zh-CN"/>
        </w:rPr>
        <w:t>L. japonica</w:t>
      </w:r>
      <w:r>
        <w:rPr>
          <w:rFonts w:hint="eastAsia" w:eastAsia="宋体"/>
          <w:i w:val="0"/>
          <w:iCs w:val="0"/>
          <w:lang w:val="en-US" w:eastAsia="zh-CN"/>
        </w:rPr>
        <w:t xml:space="preserve"> can successfully parasitize the </w:t>
      </w:r>
      <w:r>
        <w:rPr>
          <w:rFonts w:hint="eastAsia" w:eastAsia="宋体"/>
          <w:i/>
          <w:iCs/>
          <w:lang w:val="en-US" w:eastAsia="zh-CN"/>
        </w:rPr>
        <w:t>D. suzukii</w:t>
      </w:r>
      <w:r>
        <w:rPr>
          <w:rFonts w:hint="eastAsia" w:eastAsia="宋体"/>
          <w:i w:val="0"/>
          <w:iCs w:val="0"/>
          <w:lang w:val="en-US" w:eastAsia="zh-CN"/>
        </w:rPr>
        <w:t xml:space="preserve"> larvae, and emerge from </w:t>
      </w:r>
      <w:r>
        <w:rPr>
          <w:rFonts w:hint="eastAsia" w:eastAsia="宋体"/>
          <w:i/>
          <w:iCs/>
          <w:lang w:val="en-US" w:eastAsia="zh-CN"/>
        </w:rPr>
        <w:t xml:space="preserve">D. suzukii </w:t>
      </w:r>
      <w:r>
        <w:rPr>
          <w:rFonts w:hint="eastAsia" w:eastAsia="宋体"/>
          <w:i w:val="0"/>
          <w:iCs w:val="0"/>
          <w:lang w:val="en-US" w:eastAsia="zh-CN"/>
        </w:rPr>
        <w:t xml:space="preserve">pupae. The field survey results demonstrated that </w:t>
      </w:r>
      <w:r>
        <w:rPr>
          <w:rFonts w:hint="eastAsia" w:eastAsia="宋体"/>
          <w:i/>
          <w:iCs/>
          <w:lang w:val="en-US" w:eastAsia="zh-CN"/>
        </w:rPr>
        <w:t xml:space="preserve">L. japonica </w:t>
      </w:r>
      <w:r>
        <w:rPr>
          <w:rFonts w:hint="eastAsia" w:eastAsia="宋体"/>
          <w:i w:val="0"/>
          <w:iCs w:val="0"/>
          <w:lang w:val="en-US" w:eastAsia="zh-CN"/>
        </w:rPr>
        <w:t xml:space="preserve">may be the preponderant parasitoid against </w:t>
      </w:r>
      <w:r>
        <w:rPr>
          <w:rFonts w:hint="eastAsia" w:eastAsia="宋体"/>
          <w:i/>
          <w:iCs/>
          <w:lang w:val="en-US" w:eastAsia="zh-CN"/>
        </w:rPr>
        <w:t>D. suzukii</w:t>
      </w:r>
      <w:r>
        <w:rPr>
          <w:rFonts w:hint="eastAsia" w:eastAsia="宋体"/>
          <w:i w:val="0"/>
          <w:iCs w:val="0"/>
          <w:lang w:val="en-US" w:eastAsia="zh-CN"/>
        </w:rPr>
        <w:t xml:space="preserve"> in Fujian province of China.    </w:t>
      </w:r>
    </w:p>
    <w:p>
      <w:pPr>
        <w:pStyle w:val="4"/>
        <w:spacing w:before="74"/>
        <w:ind w:left="0" w:leftChars="0" w:firstLine="0" w:firstLineChars="0"/>
      </w:pPr>
      <w:r>
        <w:rPr>
          <w:b w:val="0"/>
        </w:rPr>
        <w:br w:type="column"/>
      </w:r>
      <w:r>
        <w:rPr>
          <w:color w:val="BF5A14"/>
        </w:rPr>
        <w:t>Image</w:t>
      </w:r>
      <w:r>
        <w:rPr>
          <w:rFonts w:hint="eastAsia" w:eastAsia="宋体"/>
          <w:color w:val="BF5A14"/>
          <w:lang w:val="en-US" w:eastAsia="zh-CN"/>
        </w:rPr>
        <w:t>s</w:t>
      </w:r>
    </w:p>
    <w:p>
      <w:pPr>
        <w:pStyle w:val="5"/>
        <w:spacing w:before="2"/>
        <w:rPr>
          <w:rFonts w:hint="eastAsia" w:ascii="Arial" w:eastAsia="宋体"/>
          <w:b/>
          <w:sz w:val="16"/>
          <w:lang w:eastAsia="zh-CN"/>
        </w:rPr>
      </w:pPr>
      <w:r>
        <w:rPr>
          <w:rFonts w:hint="eastAsia" w:ascii="Arial" w:eastAsia="宋体"/>
          <w:b/>
          <w:sz w:val="16"/>
          <w:lang w:eastAsia="zh-CN"/>
        </w:rPr>
        <w:drawing>
          <wp:inline distT="0" distB="0" distL="114300" distR="114300">
            <wp:extent cx="1625600" cy="955040"/>
            <wp:effectExtent l="0" t="0" r="12700" b="16510"/>
            <wp:docPr id="4" name="图片 4" descr="QQ截图20171107123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QQ截图2017110712352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95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spacing w:before="2"/>
        <w:rPr>
          <w:rFonts w:hint="eastAsia" w:ascii="Arial" w:eastAsia="宋体"/>
          <w:b/>
          <w:sz w:val="13"/>
          <w:szCs w:val="13"/>
          <w:lang w:val="en-US" w:eastAsia="zh-CN"/>
        </w:rPr>
      </w:pPr>
      <w:r>
        <w:rPr>
          <w:rFonts w:hint="eastAsia" w:ascii="Arial" w:eastAsia="宋体"/>
          <w:b/>
          <w:sz w:val="13"/>
          <w:szCs w:val="13"/>
          <w:lang w:val="en-US" w:eastAsia="zh-CN"/>
        </w:rPr>
        <w:t xml:space="preserve">Figure 1. Population dynamics of </w:t>
      </w:r>
      <w:r>
        <w:rPr>
          <w:rFonts w:hint="eastAsia" w:ascii="Arial" w:eastAsia="宋体"/>
          <w:b/>
          <w:i/>
          <w:iCs/>
          <w:sz w:val="13"/>
          <w:szCs w:val="13"/>
          <w:lang w:val="en-US" w:eastAsia="zh-CN"/>
        </w:rPr>
        <w:t>D. suzukii</w:t>
      </w:r>
      <w:r>
        <w:rPr>
          <w:rFonts w:hint="eastAsia" w:ascii="Arial" w:eastAsia="宋体"/>
          <w:b/>
          <w:sz w:val="13"/>
          <w:szCs w:val="13"/>
          <w:lang w:val="en-US" w:eastAsia="zh-CN"/>
        </w:rPr>
        <w:t xml:space="preserve"> around waxberry mature stage in Fuzhou, Fujian, 2016-2017.</w:t>
      </w:r>
    </w:p>
    <w:p>
      <w:pPr>
        <w:spacing w:line="240" w:lineRule="auto"/>
      </w:pPr>
      <w:r>
        <w:drawing>
          <wp:inline distT="0" distB="0" distL="114300" distR="114300">
            <wp:extent cx="1764030" cy="662940"/>
            <wp:effectExtent l="0" t="0" r="7620" b="3810"/>
            <wp:docPr id="6" name="图片 6" descr="initpi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nitpintu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64030" cy="66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rPr>
          <w:rFonts w:ascii="Arial"/>
          <w:b/>
          <w:sz w:val="20"/>
        </w:rPr>
      </w:pPr>
      <w:r>
        <w:rPr>
          <w:rFonts w:hint="eastAsia" w:ascii="Arial" w:hAnsi="Tw Cen MT" w:eastAsia="宋体" w:cs="Tw Cen MT"/>
          <w:b/>
          <w:sz w:val="13"/>
          <w:szCs w:val="13"/>
          <w:lang w:val="en-US" w:eastAsia="zh-CN" w:bidi="ar-SA"/>
        </w:rPr>
        <w:t xml:space="preserve">Figure </w:t>
      </w:r>
      <w:r>
        <w:rPr>
          <w:rFonts w:hint="eastAsia" w:ascii="Arial" w:hAnsi="Tw Cen MT" w:eastAsia="宋体" w:cs="Tw Cen MT"/>
          <w:b/>
          <w:sz w:val="13"/>
          <w:szCs w:val="13"/>
          <w:lang w:val="en-US" w:eastAsia="zh-CN" w:bidi="ar-SA"/>
        </w:rPr>
        <w:t xml:space="preserve">2. </w:t>
      </w:r>
      <w:r>
        <w:rPr>
          <w:rFonts w:hint="eastAsia" w:ascii="Arial" w:hAnsi="Tw Cen MT" w:eastAsia="宋体" w:cs="Tw Cen MT"/>
          <w:b/>
          <w:i/>
          <w:iCs/>
          <w:sz w:val="13"/>
          <w:szCs w:val="13"/>
          <w:lang w:val="en-US" w:eastAsia="zh-CN" w:bidi="ar-SA"/>
        </w:rPr>
        <w:t>Leptopilina japonica</w:t>
      </w:r>
      <w:r>
        <w:rPr>
          <w:rFonts w:hint="eastAsia" w:ascii="Arial" w:eastAsia="宋体" w:cs="Tw Cen MT"/>
          <w:b/>
          <w:i/>
          <w:iCs/>
          <w:sz w:val="13"/>
          <w:szCs w:val="13"/>
          <w:lang w:val="en-US" w:eastAsia="zh-CN" w:bidi="ar-SA"/>
        </w:rPr>
        <w:t xml:space="preserve"> </w:t>
      </w:r>
      <w:r>
        <w:rPr>
          <w:rFonts w:hint="eastAsia" w:ascii="Arial" w:eastAsia="宋体" w:cs="Tw Cen MT"/>
          <w:b/>
          <w:i w:val="0"/>
          <w:iCs w:val="0"/>
          <w:sz w:val="13"/>
          <w:szCs w:val="13"/>
          <w:lang w:val="en-US" w:eastAsia="zh-CN" w:bidi="ar-SA"/>
        </w:rPr>
        <w:t>female and parasitized pupae</w:t>
      </w:r>
      <w:r>
        <w:rPr>
          <w:rFonts w:ascii="Arial"/>
          <w:b/>
          <w:color w:val="BF5A14"/>
          <w:sz w:val="20"/>
        </w:rPr>
        <w:br w:type="textWrapping"/>
      </w:r>
      <w:r>
        <w:rPr>
          <w:rFonts w:ascii="Arial"/>
          <w:b/>
          <w:color w:val="BF5A14"/>
          <w:sz w:val="20"/>
        </w:rPr>
        <w:t>Recent Publications (minimum 5)</w:t>
      </w:r>
    </w:p>
    <w:p>
      <w:pPr>
        <w:pStyle w:val="12"/>
        <w:numPr>
          <w:ilvl w:val="0"/>
          <w:numId w:val="1"/>
        </w:numPr>
        <w:tabs>
          <w:tab w:val="left" w:pos="384"/>
        </w:tabs>
        <w:spacing w:line="216" w:lineRule="exact"/>
        <w:ind w:right="137" w:hanging="283"/>
        <w:rPr>
          <w:sz w:val="18"/>
          <w:szCs w:val="22"/>
        </w:rPr>
      </w:pPr>
      <w:r>
        <w:rPr>
          <w:sz w:val="18"/>
          <w:szCs w:val="22"/>
        </w:rPr>
        <w:t xml:space="preserve">Matsuura A, Mitsui H, Kimura MT </w:t>
      </w:r>
      <w:r>
        <w:rPr>
          <w:rFonts w:hint="eastAsia" w:eastAsia="宋体"/>
          <w:sz w:val="18"/>
          <w:szCs w:val="22"/>
          <w:lang w:val="en-US" w:eastAsia="zh-CN"/>
        </w:rPr>
        <w:t xml:space="preserve">(2017). </w:t>
      </w:r>
      <w:bookmarkStart w:id="1" w:name="OLE_LINK2"/>
      <w:r>
        <w:rPr>
          <w:sz w:val="18"/>
          <w:szCs w:val="22"/>
        </w:rPr>
        <w:t xml:space="preserve">A preliminary study on distributions and oviposition sites of </w:t>
      </w:r>
      <w:r>
        <w:rPr>
          <w:i/>
          <w:iCs/>
          <w:sz w:val="18"/>
          <w:szCs w:val="22"/>
        </w:rPr>
        <w:t>Drosophila suzukii</w:t>
      </w:r>
      <w:r>
        <w:rPr>
          <w:sz w:val="18"/>
          <w:szCs w:val="22"/>
        </w:rPr>
        <w:t xml:space="preserve"> (Diptera: Drosophilidae) and its parasitoids on wild cherry tree in Tokyo, central Japan</w:t>
      </w:r>
      <w:bookmarkEnd w:id="1"/>
      <w:r>
        <w:rPr>
          <w:sz w:val="18"/>
          <w:szCs w:val="22"/>
        </w:rPr>
        <w:t xml:space="preserve">. Applied Entomology </w:t>
      </w:r>
      <w:r>
        <w:rPr>
          <w:rFonts w:hint="eastAsia" w:eastAsia="宋体"/>
          <w:sz w:val="18"/>
          <w:szCs w:val="22"/>
          <w:lang w:val="en-US" w:eastAsia="zh-CN"/>
        </w:rPr>
        <w:t>and</w:t>
      </w:r>
      <w:r>
        <w:rPr>
          <w:sz w:val="18"/>
          <w:szCs w:val="22"/>
        </w:rPr>
        <w:t xml:space="preserve"> Zoology :1-7.</w:t>
      </w:r>
    </w:p>
    <w:p>
      <w:pPr>
        <w:pStyle w:val="12"/>
        <w:numPr>
          <w:ilvl w:val="0"/>
          <w:numId w:val="1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>
        <w:rPr>
          <w:sz w:val="18"/>
          <w:szCs w:val="22"/>
        </w:rPr>
        <w:t xml:space="preserve">Antonacci R, Tritto P, Cappucci U, et al. </w:t>
      </w:r>
      <w:r>
        <w:rPr>
          <w:rFonts w:hint="eastAsia" w:eastAsia="宋体"/>
          <w:sz w:val="18"/>
          <w:szCs w:val="22"/>
          <w:lang w:val="en-US" w:eastAsia="zh-CN"/>
        </w:rPr>
        <w:t xml:space="preserve">(2017). </w:t>
      </w:r>
      <w:r>
        <w:rPr>
          <w:sz w:val="18"/>
          <w:szCs w:val="22"/>
        </w:rPr>
        <w:t xml:space="preserve">Drosophilidae monitoring in apulia (Italy) reveals </w:t>
      </w:r>
      <w:r>
        <w:rPr>
          <w:i/>
          <w:iCs/>
          <w:sz w:val="18"/>
          <w:szCs w:val="22"/>
        </w:rPr>
        <w:t>Drosophila suzukii</w:t>
      </w:r>
      <w:r>
        <w:rPr>
          <w:sz w:val="18"/>
          <w:szCs w:val="22"/>
        </w:rPr>
        <w:t xml:space="preserve"> as one of the four most abundant species. </w:t>
      </w:r>
      <w:bookmarkStart w:id="2" w:name="OLE_LINK3"/>
      <w:r>
        <w:rPr>
          <w:sz w:val="18"/>
          <w:szCs w:val="22"/>
        </w:rPr>
        <w:t>Bulletin of Insectology</w:t>
      </w:r>
      <w:bookmarkEnd w:id="2"/>
      <w:r>
        <w:rPr>
          <w:sz w:val="18"/>
          <w:szCs w:val="22"/>
        </w:rPr>
        <w:t xml:space="preserve"> 70(1):139-146</w:t>
      </w:r>
      <w:r>
        <w:rPr>
          <w:rFonts w:ascii="Arial" w:hAnsi="Arial" w:eastAsia="宋体" w:cs="Arial"/>
          <w:b w:val="0"/>
          <w:i w:val="0"/>
          <w:caps w:val="0"/>
          <w:color w:val="000000"/>
          <w:spacing w:val="0"/>
          <w:sz w:val="19"/>
          <w:szCs w:val="19"/>
          <w:shd w:val="clear" w:fill="FFFFFF"/>
        </w:rPr>
        <w:t>.</w:t>
      </w:r>
    </w:p>
    <w:p>
      <w:pPr>
        <w:pStyle w:val="12"/>
        <w:numPr>
          <w:ilvl w:val="0"/>
          <w:numId w:val="1"/>
        </w:numPr>
        <w:tabs>
          <w:tab w:val="left" w:pos="384"/>
        </w:tabs>
        <w:spacing w:before="92" w:line="218" w:lineRule="exact"/>
        <w:ind w:hanging="283"/>
        <w:rPr>
          <w:sz w:val="18"/>
          <w:szCs w:val="22"/>
        </w:rPr>
      </w:pPr>
      <w:r>
        <w:rPr>
          <w:sz w:val="18"/>
          <w:szCs w:val="22"/>
        </w:rPr>
        <w:t xml:space="preserve">Joshi N K, Butler B, Demchak K, et al. </w:t>
      </w:r>
      <w:r>
        <w:rPr>
          <w:rFonts w:hint="eastAsia" w:eastAsia="宋体"/>
          <w:sz w:val="18"/>
          <w:szCs w:val="22"/>
          <w:lang w:val="en-US" w:eastAsia="zh-CN"/>
        </w:rPr>
        <w:t xml:space="preserve">(2017). </w:t>
      </w:r>
      <w:r>
        <w:rPr>
          <w:sz w:val="18"/>
          <w:szCs w:val="22"/>
        </w:rPr>
        <w:t>Seasonal occurrence of spotted wing drosophila in various small fruits and berries in Pennsylvania and Maryland. Journal of Applied Entomology 141(1)</w:t>
      </w:r>
      <w:r>
        <w:rPr>
          <w:rFonts w:hint="eastAsia" w:eastAsia="宋体"/>
          <w:sz w:val="18"/>
          <w:szCs w:val="22"/>
          <w:lang w:val="en-US" w:eastAsia="zh-CN"/>
        </w:rPr>
        <w:t>:156-160</w:t>
      </w:r>
      <w:r>
        <w:rPr>
          <w:sz w:val="18"/>
          <w:szCs w:val="22"/>
        </w:rPr>
        <w:t>.</w:t>
      </w:r>
    </w:p>
    <w:p>
      <w:pPr>
        <w:pStyle w:val="12"/>
        <w:numPr>
          <w:ilvl w:val="0"/>
          <w:numId w:val="1"/>
        </w:numPr>
        <w:tabs>
          <w:tab w:val="left" w:pos="384"/>
        </w:tabs>
        <w:spacing w:before="92" w:line="218" w:lineRule="exact"/>
        <w:ind w:hanging="283"/>
        <w:rPr>
          <w:sz w:val="18"/>
          <w:szCs w:val="22"/>
        </w:rPr>
      </w:pPr>
      <w:r>
        <w:rPr>
          <w:sz w:val="18"/>
          <w:szCs w:val="22"/>
        </w:rPr>
        <w:t xml:space="preserve">Antonacci R, Tritto P, Cappucci U, et al. </w:t>
      </w:r>
      <w:r>
        <w:rPr>
          <w:rFonts w:hint="eastAsia"/>
          <w:sz w:val="18"/>
          <w:szCs w:val="22"/>
          <w:lang w:val="en-US" w:eastAsia="zh-CN"/>
        </w:rPr>
        <w:t xml:space="preserve">(2017). </w:t>
      </w:r>
      <w:r>
        <w:rPr>
          <w:sz w:val="18"/>
          <w:szCs w:val="22"/>
        </w:rPr>
        <w:t xml:space="preserve">Drosophilidae monitoring in apulia (Italy) reveals </w:t>
      </w:r>
      <w:r>
        <w:rPr>
          <w:i/>
          <w:iCs/>
          <w:sz w:val="18"/>
          <w:szCs w:val="22"/>
        </w:rPr>
        <w:t>Drosophila suzukii</w:t>
      </w:r>
      <w:r>
        <w:rPr>
          <w:sz w:val="18"/>
          <w:szCs w:val="22"/>
        </w:rPr>
        <w:t xml:space="preserve"> as one of the four most abundant species. Bulletin of Insectology 70(1):139-146.</w:t>
      </w:r>
    </w:p>
    <w:p>
      <w:pPr>
        <w:pStyle w:val="12"/>
        <w:numPr>
          <w:ilvl w:val="0"/>
          <w:numId w:val="1"/>
        </w:numPr>
        <w:tabs>
          <w:tab w:val="left" w:pos="384"/>
        </w:tabs>
        <w:spacing w:line="216" w:lineRule="exact"/>
        <w:ind w:right="137" w:hanging="283"/>
        <w:rPr>
          <w:sz w:val="18"/>
          <w:szCs w:val="22"/>
        </w:rPr>
      </w:pPr>
      <w:r>
        <w:rPr>
          <w:sz w:val="18"/>
          <w:szCs w:val="22"/>
        </w:rPr>
        <w:t xml:space="preserve">Knoll V, Ellenbroek T, Romeis J, et al. </w:t>
      </w:r>
      <w:r>
        <w:rPr>
          <w:rFonts w:hint="eastAsia" w:eastAsia="宋体"/>
          <w:sz w:val="18"/>
          <w:szCs w:val="22"/>
          <w:lang w:val="en-US" w:eastAsia="zh-CN"/>
        </w:rPr>
        <w:t xml:space="preserve">(2017). </w:t>
      </w:r>
      <w:r>
        <w:rPr>
          <w:sz w:val="18"/>
          <w:szCs w:val="22"/>
        </w:rPr>
        <w:t xml:space="preserve">Seasonal and regional presence of hymenopteran parasitoids of Drosophila in Switzerland and their ability to parasitize the invasive </w:t>
      </w:r>
      <w:r>
        <w:rPr>
          <w:i/>
          <w:iCs/>
          <w:sz w:val="18"/>
          <w:szCs w:val="22"/>
        </w:rPr>
        <w:t>Drosophila suzukii</w:t>
      </w:r>
      <w:r>
        <w:rPr>
          <w:sz w:val="18"/>
          <w:szCs w:val="22"/>
        </w:rPr>
        <w:t>. Scientific Reports 7:40697.</w:t>
      </w:r>
    </w:p>
    <w:p>
      <w:pPr>
        <w:spacing w:line="200" w:lineRule="exact"/>
        <w:jc w:val="both"/>
        <w:rPr>
          <w:rFonts w:ascii="Calibri" w:hAnsi="Calibri"/>
        </w:rPr>
        <w:sectPr>
          <w:type w:val="continuous"/>
          <w:pgSz w:w="11910" w:h="16840"/>
          <w:pgMar w:top="1740" w:right="600" w:bottom="840" w:left="620" w:header="720" w:footer="720" w:gutter="0"/>
          <w:cols w:equalWidth="0" w:num="2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>
      <w:pPr>
        <w:pStyle w:val="5"/>
        <w:rPr>
          <w:rFonts w:ascii="Calibri"/>
          <w:sz w:val="20"/>
        </w:rPr>
      </w:pPr>
    </w:p>
    <w:p>
      <w:pPr>
        <w:pStyle w:val="5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o:spt="203" style="height:2pt;width:313.05pt;" coordsize="6261,40" o:gfxdata="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ZJRBh1AAAAAMBAAAPAAAAAAAAAAEAIAAAACIAAABkcnMvZG93bnJldi54bWxQSwECFAAU&#10;AAAACACHTuJAd/MxkfUBAABHBAAADgAAAAAAAAABACAAAAAjAQAAZHJzL2Uyb0RvYy54bWxQSwUG&#10;AAAAAAYABgBZAQAAigUAAAAA&#10;">
                <o:lock v:ext="edit" aspectratio="f"/>
                <v:line id="Line 5" o:spid="_x0000_s1026" o:spt="20" style="position:absolute;left:20;top:20;height:0;width:6221;" filled="f" stroked="t" coordsize="21600,21600" o:gfxdata="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l7Txu5AAAA2wAA&#10;AA8AAAAAAAAAAQAgAAAAIgAAAGRycy9kb3ducmV2LnhtbFBLAQIUABQAAAAIAIdO4kAzLwWeOwAA&#10;ADkAAAAQAAAAAAAAAAEAIAAAAAgBAABkcnMvc2hhcGV4bWwueG1sUEsFBgAAAAAGAAYAWwEAALID&#10;AAAAAA==&#10;">
                  <v:fill on="f" focussize="0,0"/>
                  <v:stroke weight="2pt" color="#00408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>
      <w:pPr>
        <w:spacing w:before="92"/>
        <w:ind w:right="4234"/>
        <w:rPr>
          <w:rFonts w:ascii="Arial"/>
        </w:rPr>
      </w:pPr>
      <w:r>
        <w:t xml:space="preserve">              </w:t>
      </w:r>
      <w:r>
        <w:rPr>
          <w:lang w:val="en-IN" w:eastAsia="en-IN"/>
        </w:rPr>
        <w:drawing>
          <wp:inline distT="0" distB="0" distL="0" distR="0">
            <wp:extent cx="628015" cy="622935"/>
            <wp:effectExtent l="0" t="0" r="635" b="5715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umm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/>
          <w:color w:val="BF5A14"/>
        </w:rPr>
        <w:t>Biography (150 word limit)</w:t>
      </w:r>
    </w:p>
    <w:p>
      <w:pPr>
        <w:spacing w:before="41" w:line="154" w:lineRule="exact"/>
        <w:ind w:left="213" w:right="231"/>
        <w:jc w:val="both"/>
        <w:rPr>
          <w:rFonts w:hint="eastAsia" w:ascii="Arial" w:eastAsia="宋体"/>
          <w:sz w:val="14"/>
          <w:lang w:val="en-US" w:eastAsia="zh-CN"/>
        </w:rPr>
      </w:pPr>
      <w:r>
        <w:rPr>
          <w:rFonts w:hint="eastAsia" w:ascii="Arial" w:eastAsia="宋体"/>
          <w:sz w:val="14"/>
          <w:lang w:val="en-US" w:eastAsia="zh-CN"/>
        </w:rPr>
        <w:t xml:space="preserve">Pumo Cai has researched the biological control of fruit flies for six years. As the notorious </w:t>
      </w:r>
      <w:r>
        <w:rPr>
          <w:rFonts w:hint="eastAsia" w:ascii="Arial" w:eastAsia="宋体"/>
          <w:i/>
          <w:iCs/>
          <w:sz w:val="14"/>
          <w:lang w:val="en-US" w:eastAsia="zh-CN"/>
        </w:rPr>
        <w:t>Drosophila suzukii</w:t>
      </w:r>
      <w:r>
        <w:rPr>
          <w:rFonts w:hint="eastAsia" w:ascii="Arial" w:eastAsia="宋体"/>
          <w:sz w:val="14"/>
          <w:lang w:val="en-US" w:eastAsia="zh-CN"/>
        </w:rPr>
        <w:t xml:space="preserve"> has been reported to have rapidly spread in Europe and America causing significant economic damage to a wide range of fruit, his team started to survey the classical biological agents against </w:t>
      </w:r>
      <w:r>
        <w:rPr>
          <w:rFonts w:hint="eastAsia" w:ascii="Arial" w:eastAsia="宋体"/>
          <w:i/>
          <w:iCs/>
          <w:sz w:val="14"/>
          <w:lang w:val="en-US" w:eastAsia="zh-CN"/>
        </w:rPr>
        <w:t>D. suzukii</w:t>
      </w:r>
      <w:r>
        <w:rPr>
          <w:rFonts w:hint="eastAsia" w:ascii="Arial" w:eastAsia="宋体"/>
          <w:sz w:val="14"/>
          <w:lang w:val="en-US" w:eastAsia="zh-CN"/>
        </w:rPr>
        <w:t xml:space="preserve"> in China. Recently, his team found that </w:t>
      </w:r>
      <w:r>
        <w:rPr>
          <w:rFonts w:hint="eastAsia" w:ascii="Arial" w:eastAsia="宋体"/>
          <w:i/>
          <w:iCs/>
          <w:sz w:val="14"/>
          <w:lang w:val="en-US" w:eastAsia="zh-CN"/>
        </w:rPr>
        <w:t xml:space="preserve">Leptopilina japonica, </w:t>
      </w:r>
      <w:r>
        <w:rPr>
          <w:rFonts w:hint="eastAsia" w:ascii="Arial" w:eastAsia="宋体"/>
          <w:i w:val="0"/>
          <w:iCs w:val="0"/>
          <w:sz w:val="14"/>
          <w:lang w:val="en-US" w:eastAsia="zh-CN"/>
        </w:rPr>
        <w:t xml:space="preserve">were collected from Southern China, can successfully parasitze the </w:t>
      </w:r>
      <w:bookmarkStart w:id="3" w:name="OLE_LINK4"/>
      <w:r>
        <w:rPr>
          <w:rFonts w:hint="eastAsia" w:ascii="Arial" w:eastAsia="宋体"/>
          <w:i/>
          <w:iCs/>
          <w:sz w:val="14"/>
          <w:lang w:val="en-US" w:eastAsia="zh-CN"/>
        </w:rPr>
        <w:t xml:space="preserve">D. suzukii </w:t>
      </w:r>
      <w:bookmarkEnd w:id="3"/>
      <w:r>
        <w:rPr>
          <w:rFonts w:hint="eastAsia" w:ascii="Arial" w:eastAsia="宋体"/>
          <w:i w:val="0"/>
          <w:iCs w:val="0"/>
          <w:sz w:val="14"/>
          <w:lang w:val="en-US" w:eastAsia="zh-CN"/>
        </w:rPr>
        <w:t>under</w:t>
      </w:r>
      <w:r>
        <w:rPr>
          <w:rFonts w:hint="eastAsia" w:ascii="Arial" w:eastAsia="宋体"/>
          <w:i/>
          <w:iCs/>
          <w:sz w:val="14"/>
          <w:lang w:val="en-US" w:eastAsia="zh-CN"/>
        </w:rPr>
        <w:t xml:space="preserve"> </w:t>
      </w:r>
      <w:r>
        <w:rPr>
          <w:rFonts w:hint="eastAsia" w:ascii="Arial" w:eastAsia="宋体"/>
          <w:i w:val="0"/>
          <w:iCs w:val="0"/>
          <w:sz w:val="14"/>
          <w:lang w:val="en-US" w:eastAsia="zh-CN"/>
        </w:rPr>
        <w:t>laborotory condition</w:t>
      </w:r>
      <w:r>
        <w:rPr>
          <w:rFonts w:hint="eastAsia" w:ascii="Arial" w:eastAsia="宋体"/>
          <w:i/>
          <w:iCs/>
          <w:sz w:val="14"/>
          <w:lang w:val="en-US" w:eastAsia="zh-CN"/>
        </w:rPr>
        <w:t xml:space="preserve">. </w:t>
      </w:r>
      <w:r>
        <w:rPr>
          <w:rFonts w:hint="eastAsia" w:ascii="Arial" w:eastAsia="宋体"/>
          <w:i w:val="0"/>
          <w:iCs w:val="0"/>
          <w:sz w:val="14"/>
          <w:lang w:val="en-US" w:eastAsia="zh-CN"/>
        </w:rPr>
        <w:t>The</w:t>
      </w:r>
      <w:r>
        <w:rPr>
          <w:rFonts w:hint="eastAsia" w:ascii="Arial" w:eastAsia="宋体"/>
          <w:i/>
          <w:iCs/>
          <w:sz w:val="14"/>
          <w:lang w:val="en-US" w:eastAsia="zh-CN"/>
        </w:rPr>
        <w:t xml:space="preserve"> </w:t>
      </w:r>
      <w:r>
        <w:rPr>
          <w:rFonts w:hint="eastAsia" w:ascii="Arial" w:eastAsia="宋体"/>
          <w:i w:val="0"/>
          <w:iCs w:val="0"/>
          <w:sz w:val="14"/>
          <w:lang w:val="en-US" w:eastAsia="zh-CN"/>
        </w:rPr>
        <w:t xml:space="preserve">field survey of biological control agents against </w:t>
      </w:r>
      <w:r>
        <w:rPr>
          <w:rFonts w:hint="eastAsia" w:ascii="Arial" w:eastAsia="宋体"/>
          <w:i/>
          <w:iCs/>
          <w:sz w:val="14"/>
          <w:lang w:val="en-US" w:eastAsia="zh-CN"/>
        </w:rPr>
        <w:t xml:space="preserve">D. suzukii  </w:t>
      </w:r>
      <w:r>
        <w:rPr>
          <w:rFonts w:hint="eastAsia" w:ascii="Arial" w:eastAsia="宋体"/>
          <w:i w:val="0"/>
          <w:iCs w:val="0"/>
          <w:sz w:val="14"/>
          <w:lang w:val="en-US" w:eastAsia="zh-CN"/>
        </w:rPr>
        <w:t>in China where near its origin is ongoing. The exploration of more suitbale natural enemies is of importance to all industries affected by this pest.</w:t>
      </w:r>
      <w:r>
        <w:rPr>
          <w:rFonts w:hint="eastAsia" w:ascii="Arial" w:eastAsia="宋体"/>
          <w:i/>
          <w:iCs/>
          <w:sz w:val="14"/>
          <w:lang w:val="en-US" w:eastAsia="zh-CN"/>
        </w:rPr>
        <w:t xml:space="preserve">  </w:t>
      </w:r>
    </w:p>
    <w:p>
      <w:pPr>
        <w:spacing w:before="62"/>
        <w:ind w:right="2752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                                 Email: </w:t>
      </w:r>
      <w:r>
        <w:fldChar w:fldCharType="begin"/>
      </w:r>
      <w:r>
        <w:instrText xml:space="preserve"> HYPERLINK "mailto:drXXXXXXX@xxxmail.com" </w:instrText>
      </w:r>
      <w:r>
        <w:fldChar w:fldCharType="separate"/>
      </w:r>
      <w:r>
        <w:rPr>
          <w:rStyle w:val="10"/>
          <w:rFonts w:hint="eastAsia" w:ascii="Arial" w:eastAsia="宋体"/>
          <w:sz w:val="14"/>
          <w:lang w:val="en-US" w:eastAsia="zh-CN"/>
        </w:rPr>
        <w:t>caipumo</w:t>
      </w:r>
      <w:r>
        <w:rPr>
          <w:rStyle w:val="10"/>
          <w:rFonts w:ascii="Arial"/>
          <w:sz w:val="14"/>
        </w:rPr>
        <w:t>@</w:t>
      </w:r>
      <w:r>
        <w:rPr>
          <w:rStyle w:val="10"/>
          <w:rFonts w:hint="eastAsia" w:ascii="Arial" w:eastAsia="宋体"/>
          <w:sz w:val="14"/>
          <w:lang w:val="en-US" w:eastAsia="zh-CN"/>
        </w:rPr>
        <w:t>qq</w:t>
      </w:r>
      <w:r>
        <w:rPr>
          <w:rStyle w:val="10"/>
          <w:rFonts w:ascii="Arial"/>
          <w:sz w:val="14"/>
        </w:rPr>
        <w:t>.com</w:t>
      </w:r>
      <w:r>
        <w:rPr>
          <w:rStyle w:val="10"/>
          <w:rFonts w:ascii="Arial"/>
          <w:sz w:val="14"/>
        </w:rPr>
        <w:fldChar w:fldCharType="end"/>
      </w:r>
      <w:r>
        <w:rPr>
          <w:rStyle w:val="10"/>
          <w:rFonts w:ascii="Arial"/>
          <w:sz w:val="14"/>
        </w:rPr>
        <w:t xml:space="preserve"> </w:t>
      </w:r>
      <w:r>
        <w:rPr>
          <w:rStyle w:val="10"/>
          <w:rFonts w:ascii="Arial"/>
          <w:sz w:val="14"/>
          <w:u w:val="none"/>
        </w:rPr>
        <w:t xml:space="preserve">    </w:t>
      </w:r>
      <w:r>
        <w:rPr>
          <w:rStyle w:val="10"/>
          <w:rFonts w:ascii="Arial"/>
          <w:color w:val="auto"/>
          <w:sz w:val="14"/>
          <w:u w:val="none"/>
        </w:rPr>
        <w:t>Contact No</w:t>
      </w:r>
      <w:r>
        <w:rPr>
          <w:rStyle w:val="10"/>
          <w:rFonts w:ascii="Arial"/>
          <w:sz w:val="14"/>
          <w:u w:val="none"/>
        </w:rPr>
        <w:t xml:space="preserve">: </w:t>
      </w:r>
      <w:r>
        <w:rPr>
          <w:rStyle w:val="10"/>
          <w:rFonts w:hint="eastAsia" w:ascii="Arial" w:eastAsia="宋体"/>
          <w:sz w:val="14"/>
          <w:u w:val="none"/>
          <w:lang w:val="en-US" w:eastAsia="zh-CN"/>
        </w:rPr>
        <w:t>086-15080456908</w:t>
      </w:r>
    </w:p>
    <w:p>
      <w:pPr>
        <w:pStyle w:val="5"/>
        <w:spacing w:before="2"/>
        <w:rPr>
          <w:rFonts w:ascii="Arial"/>
          <w:sz w:val="19"/>
        </w:rPr>
      </w:pPr>
      <w:r>
        <w:rPr>
          <w:lang w:val="en-IN" w:eastAsia="en-IN"/>
        </w:rPr>
        <mc:AlternateContent>
          <mc:Choice Requires="wps">
            <w:drawing>
              <wp:anchor distT="0" distB="0" distL="0" distR="0" simplePos="0" relativeHeight="2048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3" o:spid="_x0000_s1026" o:spt="20" style="position:absolute;left:0pt;margin-left:162.1pt;margin-top:13.25pt;height:0pt;width:271.05pt;mso-position-horizontal-relative:page;mso-wrap-distance-bottom:0pt;mso-wrap-distance-top:0pt;z-index:2048;mso-width-relative:page;mso-height-relative:page;" filled="f" stroked="t" coordsize="21600,21600" o:gfxdata="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AOKUBv&#10;1gAAAAkBAAAPAAAAAAAAAAEAIAAAACIAAABkcnMvZG93bnJldi54bWxQSwECFAAUAAAACACHTuJA&#10;mnOm17EBAABSAwAADgAAAAAAAAABACAAAAAlAQAAZHJzL2Uyb0RvYy54bWxQSwUGAAAAAAYABgBZ&#10;AQAASAUAAAAA&#10;">
                <v:fill on="f" focussize="0,0"/>
                <v:stroke weight="0.5pt" color="#00408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p>
      <w:pPr>
        <w:pStyle w:val="5"/>
        <w:rPr>
          <w:rFonts w:ascii="Arial"/>
          <w:sz w:val="20"/>
        </w:rPr>
      </w:pPr>
    </w:p>
    <w:p>
      <w:pPr>
        <w:spacing w:before="39"/>
        <w:rPr>
          <w:rFonts w:ascii="Minion Pro"/>
          <w:b/>
          <w:sz w:val="20"/>
        </w:rPr>
      </w:pPr>
      <w:r>
        <w:rPr>
          <w:rFonts w:ascii="Minion Pro"/>
          <w:b/>
          <w:sz w:val="20"/>
        </w:rPr>
        <w:t>Notes/Comments:</w:t>
      </w:r>
    </w:p>
    <w:p>
      <w:pPr>
        <w:rPr>
          <w:rFonts w:ascii="Minion Pro"/>
          <w:sz w:val="24"/>
        </w:rPr>
        <w:sectPr>
          <w:type w:val="continuous"/>
          <w:pgSz w:w="11910" w:h="16840"/>
          <w:pgMar w:top="1740" w:right="600" w:bottom="840" w:left="620" w:header="720" w:footer="720" w:gutter="0"/>
          <w:cols w:space="720" w:num="1"/>
        </w:sectPr>
      </w:pPr>
    </w:p>
    <w:p>
      <w:pPr>
        <w:pStyle w:val="5"/>
        <w:spacing w:before="3"/>
        <w:rPr>
          <w:rFonts w:ascii="Minion Pro"/>
          <w:sz w:val="26"/>
        </w:rPr>
      </w:pPr>
    </w:p>
    <w:sectPr>
      <w:type w:val="continuous"/>
      <w:pgSz w:w="11910" w:h="16840"/>
      <w:pgMar w:top="1740" w:right="580" w:bottom="840" w:left="620" w:header="720" w:footer="720" w:gutter="0"/>
      <w:cols w:equalWidth="0" w:num="2">
        <w:col w:w="5214" w:space="138"/>
        <w:col w:w="535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Tw Cen MT">
    <w:panose1 w:val="020B0602020104020603"/>
    <w:charset w:val="00"/>
    <w:family w:val="swiss"/>
    <w:pitch w:val="default"/>
    <w:sig w:usb0="00000003" w:usb1="00000000" w:usb2="00000000" w:usb3="00000000" w:csb0="20000003" w:csb1="00000000"/>
  </w:font>
  <w:font w:name="Minion Pro">
    <w:altName w:val="Cambria Math"/>
    <w:panose1 w:val="00000000000000000000"/>
    <w:charset w:val="00"/>
    <w:family w:val="roman"/>
    <w:pitch w:val="default"/>
    <w:sig w:usb0="00000000" w:usb1="00000000" w:usb2="00000000" w:usb3="00000000" w:csb0="0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yriad Pro">
    <w:altName w:val="Corbel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Cambria Math">
    <w:panose1 w:val="02040503050406030204"/>
    <w:charset w:val="00"/>
    <w:family w:val="auto"/>
    <w:pitch w:val="default"/>
    <w:sig w:usb0="A00002EF" w:usb1="420020EB" w:usb2="00000000" w:usb3="00000000" w:csb0="2000019F" w:csb1="0000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14" w:lineRule="auto"/>
      <w:rPr>
        <w:sz w:val="20"/>
      </w:rPr>
    </w:pPr>
    <w:r>
      <w:rPr>
        <w:lang w:val="en-IN" w:eastAsia="en-IN"/>
      </w:rPr>
      <mc:AlternateContent>
        <mc:Choice Requires="wps">
          <w:drawing>
            <wp:anchor distT="0" distB="0" distL="114300" distR="114300" simplePos="0" relativeHeight="503311360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J Pain Relief</w:t>
                          </w:r>
                        </w:p>
                        <w:p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3" o:spid="_x0000_s1026" o:spt="202" type="#_x0000_t202" style="position:absolute;left:0pt;margin-left:35pt;margin-top:798.8pt;height:19.6pt;width:168.2pt;mso-position-horizontal-relative:page;mso-position-vertical-relative:page;z-index:-5120;mso-width-relative:page;mso-height-relative:page;" filled="f" stroked="f" coordsize="21600,21600" o:gfxdata="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BAJbqTaAAAA&#10;DAEAAA8AAAAAAAAAAQAgAAAAIgAAAGRycy9kb3ducmV2LnhtbFBLAQIUABQAAAAIAIdO4kCAkC5P&#10;4gEAALYDAAAOAAAAAAAAAAEAIAAAACkBAABkcnMvZTJvRG9jLnhtbFBLBQYAAAAABgAGAFkBAAB9&#10;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J Pain Relief</w:t>
                    </w:r>
                  </w:p>
                  <w:p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ISSN: 2167-0846 JPAR an open access journa</w:t>
                    </w:r>
                  </w:p>
                </w:txbxContent>
              </v:textbox>
            </v:shape>
          </w:pict>
        </mc:Fallback>
      </mc:AlternateContent>
    </w:r>
    <w:r>
      <w:rPr>
        <w:lang w:val="en-IN" w:eastAsia="en-IN"/>
      </w:rPr>
      <mc:AlternateContent>
        <mc:Choice Requires="wps">
          <w:drawing>
            <wp:anchor distT="0" distB="0" distL="114300" distR="114300" simplePos="0" relativeHeight="503311360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Impact"/>
                              <w:color w:val="FFFFFF" w:themeColor="background1"/>
                              <w:sz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Fibromyalgia 2016</w:t>
                          </w:r>
                        </w:p>
                        <w:p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left:252.1pt;margin-top:799.05pt;height:24.95pt;width:91.9pt;mso-position-horizontal-relative:page;mso-position-vertical-relative:page;z-index:-5120;mso-width-relative:page;mso-height-relative:page;" filled="f" stroked="f" coordsize="21600,21600" o:gfxdata="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fgNYJNoAAAAN&#10;AQAADwAAAAAAAAABACAAAAAiAAAAZHJzL2Rvd25yZXYueG1sUEsBAhQAFAAAAAgAh07iQFvRWTvh&#10;AQAAtgMAAA4AAAAAAAAAAQAgAAAAKQEAAGRycy9lMm9Eb2MueG1sUEsFBgAAAAAGAAYAWQEAAHwF&#10;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Impact"/>
                        <w:color w:val="FFFFFF" w:themeColor="background1"/>
                        <w:sz w:val="2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Fibromyalgia 2016</w:t>
                    </w:r>
                  </w:p>
                  <w:p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June 15-16, 2016</w:t>
                    </w:r>
                  </w:p>
                </w:txbxContent>
              </v:textbox>
            </v:shape>
          </w:pict>
        </mc:Fallback>
      </mc:AlternateContent>
    </w:r>
    <w:r>
      <w:rPr>
        <w:lang w:val="en-IN" w:eastAsia="en-IN"/>
      </w:rPr>
      <mc:AlternateContent>
        <mc:Choice Requires="wps">
          <w:drawing>
            <wp:anchor distT="0" distB="0" distL="114300" distR="114300" simplePos="0" relativeHeight="503311360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Volume 5, Issue 3(Suppl)</w:t>
                          </w:r>
                        </w:p>
                        <w:p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Minion Pro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468.9pt;margin-top:798.8pt;height:26.05pt;width:91.4pt;mso-position-horizontal-relative:page;mso-position-vertical-relative:page;z-index:-5120;mso-width-relative:page;mso-height-relative:page;" filled="f" stroked="f" coordsize="21600,21600" o:gfxdata="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wbMZ2dsAAAAO&#10;AQAADwAAAAAAAAABACAAAAAiAAAAZHJzL2Rvd25yZXYueG1sUEsBAhQAFAAAAAgAh07iQAokTj3g&#10;AQAAtgMAAA4AAAAAAAAAAQAgAAAAKgEAAGRycy9lMm9Eb2MueG1sUEsFBgAAAAAGAAYAWQEAAHwF&#10;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Volume 5, Issue 3(Suppl)</w:t>
                    </w:r>
                  </w:p>
                  <w:p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Minion Pro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Page 40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14" w:lineRule="auto"/>
      <w:rPr>
        <w:sz w:val="20"/>
      </w:rPr>
    </w:pPr>
    <w:r>
      <w:rPr>
        <w:lang w:val="en-IN" w:eastAsia="en-IN"/>
      </w:rPr>
      <mc:AlternateContent>
        <mc:Choice Requires="wps">
          <w:drawing>
            <wp:anchor distT="0" distB="0" distL="114300" distR="114300" simplePos="0" relativeHeight="50331136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T Furuta et al., J Pai n Relief 2016, 5:3(Suppl) </w:t>
                          </w:r>
                          <w:r>
                            <w:fldChar w:fldCharType="begin"/>
                          </w:r>
                          <w:r>
                            <w:instrText xml:space="preserve"> HYPERLINK "http://dx.doi.org/10.4172/2167-0846.C1.006" \h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http://dx.doi.org/10.4172/2167-0846.C1.006</w:t>
                          </w:r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5" o:spid="_x0000_s1026" o:spt="202" type="#_x0000_t202" style="position:absolute;left:0pt;margin-left:416pt;margin-top:26.05pt;height:17.4pt;width:144.3pt;mso-position-horizontal-relative:page;mso-position-vertical-relative:page;z-index:-5120;mso-width-relative:page;mso-height-relative:page;" filled="f" stroked="f" coordsize="21600,21600" o:gfxdata="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p1iuI2QAAAAoB&#10;AAAPAAAAAAAAAAEAIAAAACIAAABkcnMvZG93bnJldi54bWxQSwECFAAUAAAACACHTuJAWRO2/OEB&#10;AAC3AwAADgAAAAAAAAABACAAAAAoAQAAZHJzL2Uyb0RvYy54bWxQSwUGAAAAAAYABgBZAQAAewUA&#10;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T Furuta et al., J Pai n Relief 2016, 5:3(Suppl) </w:t>
                    </w:r>
                    <w:r>
                      <w:fldChar w:fldCharType="begin"/>
                    </w:r>
                    <w:r>
                      <w:instrText xml:space="preserve"> HYPERLINK "http://dx.doi.org/10.4172/2167-0846.C1.006" \h </w:instrText>
                    </w:r>
                    <w:r>
                      <w:fldChar w:fldCharType="separate"/>
                    </w:r>
                    <w:r>
                      <w:rPr>
                        <w:rFonts w:ascii="Arial"/>
                        <w:color w:val="FFFFFF" w:themeColor="background1"/>
                        <w:sz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http://dx.doi.org/10.4172/2167-0846.C1.006</w:t>
                    </w:r>
                    <w:r>
                      <w:rPr>
                        <w:rFonts w:ascii="Arial"/>
                        <w:color w:val="FFFFFF" w:themeColor="background1"/>
                        <w:sz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lang w:val="en-IN" w:eastAsia="en-IN"/>
      </w:rPr>
      <mc:AlternateContent>
        <mc:Choice Requires="wps">
          <w:drawing>
            <wp:anchor distT="0" distB="0" distL="114300" distR="114300" simplePos="0" relativeHeight="503311360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Myriad Pro"/>
                              <w:color w:val="FFFFFF" w:themeColor="background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International Conference on</w:t>
                          </w:r>
                        </w:p>
                        <w:p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Impact"/>
                              <w:color w:val="FFFFFF" w:themeColor="background1"/>
                              <w:sz w:val="52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Fibromyalgia and Chronic Pain </w:t>
                          </w:r>
                          <w:r>
                            <w:rPr>
                              <w:rFonts w:ascii="Minion Pro"/>
                              <w:color w:val="FFFFFF" w:themeColor="background1"/>
                              <w:sz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4" o:spid="_x0000_s1026" o:spt="202" type="#_x0000_t202" style="position:absolute;left:0pt;margin-left:35pt;margin-top:48.3pt;height:40.1pt;width:515.95pt;mso-position-horizontal-relative:page;mso-position-vertical-relative:page;z-index:-5120;mso-width-relative:page;mso-height-relative:page;" filled="f" stroked="f" coordsize="21600,21600" o:gfxdata="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ML0Fa2AAAAAoB&#10;AAAPAAAAAAAAAAEAIAAAACIAAABkcnMvZG93bnJldi54bWxQSwECFAAUAAAACACHTuJAsUFBEuIB&#10;AAC3AwAADgAAAAAAAAABACAAAAAnAQAAZHJzL2Uyb0RvYy54bWxQSwUGAAAAAAYABgBZAQAAewUA&#10;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5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Myriad Pro"/>
                        <w:color w:val="FFFFFF" w:themeColor="background1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International Conference on</w:t>
                    </w:r>
                  </w:p>
                  <w:p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Impact"/>
                        <w:color w:val="FFFFFF" w:themeColor="background1"/>
                        <w:sz w:val="52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Fibromyalgia and Chronic Pain </w:t>
                    </w:r>
                    <w:r>
                      <w:rPr>
                        <w:rFonts w:ascii="Minion Pro"/>
                        <w:color w:val="FFFFFF" w:themeColor="background1"/>
                        <w:sz w:val="2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(June 15-16, 2016   Philadelphia, USA)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multilevel"/>
    <w:tmpl w:val="31C80552"/>
    <w:lvl w:ilvl="0" w:tentative="0">
      <w:start w:val="1"/>
      <w:numFmt w:val="decimal"/>
      <w:lvlText w:val="%1."/>
      <w:lvlJc w:val="left"/>
      <w:pPr>
        <w:ind w:left="383" w:hanging="284"/>
      </w:pPr>
      <w:rPr>
        <w:rFonts w:hint="default" w:ascii="Calibri" w:hAnsi="Calibri" w:eastAsia="Calibri" w:cs="Calibri"/>
        <w:spacing w:val="-16"/>
        <w:w w:val="100"/>
        <w:sz w:val="18"/>
        <w:szCs w:val="18"/>
      </w:rPr>
    </w:lvl>
    <w:lvl w:ilvl="1" w:tentative="0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entative="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entative="0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entative="0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entative="0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entative="0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entative="0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entative="0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92ED9"/>
    <w:rsid w:val="00364417"/>
    <w:rsid w:val="003F175B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9B2D44"/>
    <w:rsid w:val="00A07E82"/>
    <w:rsid w:val="00A9710C"/>
    <w:rsid w:val="00AE3E37"/>
    <w:rsid w:val="00B21A57"/>
    <w:rsid w:val="00C33602"/>
    <w:rsid w:val="00CD6F55"/>
    <w:rsid w:val="00DE3104"/>
    <w:rsid w:val="00F24FA2"/>
    <w:rsid w:val="00F72EEA"/>
    <w:rsid w:val="00F84CAE"/>
    <w:rsid w:val="01877E4E"/>
    <w:rsid w:val="027F03E9"/>
    <w:rsid w:val="146B1F16"/>
    <w:rsid w:val="19D33DA3"/>
    <w:rsid w:val="1CAA7A6C"/>
    <w:rsid w:val="2B205BDF"/>
    <w:rsid w:val="308E0E81"/>
    <w:rsid w:val="39E24795"/>
    <w:rsid w:val="3CF309B4"/>
    <w:rsid w:val="446B0FA5"/>
    <w:rsid w:val="48A0440F"/>
    <w:rsid w:val="4FE717B6"/>
    <w:rsid w:val="5236137D"/>
    <w:rsid w:val="55B5247B"/>
    <w:rsid w:val="567069FA"/>
    <w:rsid w:val="596D6CA7"/>
    <w:rsid w:val="7EEA190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Tw Cen MT" w:hAnsi="Tw Cen MT" w:eastAsia="Tw Cen MT" w:cs="Tw Cen MT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spacing w:before="47" w:line="400" w:lineRule="exact"/>
      <w:ind w:left="100"/>
      <w:outlineLvl w:val="0"/>
    </w:pPr>
    <w:rPr>
      <w:rFonts w:ascii="Minion Pro" w:hAnsi="Minion Pro" w:eastAsia="Minion Pro" w:cs="Minion Pro"/>
      <w:b/>
      <w:bCs/>
      <w:sz w:val="36"/>
      <w:szCs w:val="36"/>
    </w:rPr>
  </w:style>
  <w:style w:type="paragraph" w:styleId="3">
    <w:name w:val="heading 2"/>
    <w:basedOn w:val="1"/>
    <w:next w:val="1"/>
    <w:qFormat/>
    <w:uiPriority w:val="1"/>
    <w:pPr>
      <w:ind w:left="100"/>
      <w:outlineLvl w:val="1"/>
    </w:pPr>
    <w:rPr>
      <w:rFonts w:ascii="Minion Pro" w:hAnsi="Minion Pro" w:eastAsia="Minion Pro" w:cs="Minion Pro"/>
      <w:sz w:val="24"/>
      <w:szCs w:val="24"/>
    </w:rPr>
  </w:style>
  <w:style w:type="paragraph" w:styleId="4">
    <w:name w:val="heading 3"/>
    <w:basedOn w:val="1"/>
    <w:next w:val="1"/>
    <w:qFormat/>
    <w:uiPriority w:val="1"/>
    <w:pPr>
      <w:ind w:left="100"/>
      <w:outlineLvl w:val="2"/>
    </w:pPr>
    <w:rPr>
      <w:rFonts w:ascii="Arial" w:hAnsi="Arial" w:eastAsia="Arial" w:cs="Arial"/>
      <w:b/>
      <w:bCs/>
      <w:sz w:val="20"/>
      <w:szCs w:val="20"/>
    </w:rPr>
  </w:style>
  <w:style w:type="character" w:default="1" w:styleId="9">
    <w:name w:val="Default Paragraph Font"/>
    <w:unhideWhenUsed/>
    <w:uiPriority w:val="1"/>
  </w:style>
  <w:style w:type="table" w:default="1" w:styleId="11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17"/>
    <w:qFormat/>
    <w:uiPriority w:val="1"/>
    <w:rPr>
      <w:sz w:val="18"/>
      <w:szCs w:val="18"/>
    </w:rPr>
  </w:style>
  <w:style w:type="paragraph" w:styleId="6">
    <w:name w:val="Balloon Text"/>
    <w:basedOn w:val="1"/>
    <w:link w:val="16"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513"/>
        <w:tab w:val="right" w:pos="9026"/>
      </w:tabs>
    </w:pPr>
  </w:style>
  <w:style w:type="paragraph" w:styleId="8">
    <w:name w:val="header"/>
    <w:basedOn w:val="1"/>
    <w:link w:val="14"/>
    <w:unhideWhenUsed/>
    <w:uiPriority w:val="99"/>
    <w:pPr>
      <w:tabs>
        <w:tab w:val="center" w:pos="4513"/>
        <w:tab w:val="right" w:pos="9026"/>
      </w:tabs>
    </w:p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2">
    <w:name w:val="List Paragraph"/>
    <w:basedOn w:val="1"/>
    <w:qFormat/>
    <w:uiPriority w:val="1"/>
    <w:pPr>
      <w:spacing w:before="90" w:line="200" w:lineRule="exact"/>
      <w:ind w:left="383" w:hanging="283"/>
      <w:jc w:val="both"/>
    </w:pPr>
    <w:rPr>
      <w:rFonts w:ascii="Calibri" w:hAnsi="Calibri" w:eastAsia="Calibri" w:cs="Calibri"/>
    </w:rPr>
  </w:style>
  <w:style w:type="paragraph" w:customStyle="1" w:styleId="13">
    <w:name w:val="Table Paragraph"/>
    <w:basedOn w:val="1"/>
    <w:qFormat/>
    <w:uiPriority w:val="1"/>
  </w:style>
  <w:style w:type="character" w:customStyle="1" w:styleId="14">
    <w:name w:val="Header Char"/>
    <w:basedOn w:val="9"/>
    <w:link w:val="8"/>
    <w:uiPriority w:val="99"/>
    <w:rPr>
      <w:rFonts w:ascii="Tw Cen MT" w:hAnsi="Tw Cen MT" w:eastAsia="Tw Cen MT" w:cs="Tw Cen MT"/>
    </w:rPr>
  </w:style>
  <w:style w:type="character" w:customStyle="1" w:styleId="15">
    <w:name w:val="Footer Char"/>
    <w:basedOn w:val="9"/>
    <w:link w:val="7"/>
    <w:qFormat/>
    <w:uiPriority w:val="99"/>
    <w:rPr>
      <w:rFonts w:ascii="Tw Cen MT" w:hAnsi="Tw Cen MT" w:eastAsia="Tw Cen MT" w:cs="Tw Cen MT"/>
    </w:rPr>
  </w:style>
  <w:style w:type="character" w:customStyle="1" w:styleId="16">
    <w:name w:val="Balloon Text Char"/>
    <w:basedOn w:val="9"/>
    <w:link w:val="6"/>
    <w:semiHidden/>
    <w:uiPriority w:val="99"/>
    <w:rPr>
      <w:rFonts w:ascii="Tahoma" w:hAnsi="Tahoma" w:eastAsia="Tw Cen MT" w:cs="Tahoma"/>
      <w:sz w:val="16"/>
      <w:szCs w:val="16"/>
    </w:rPr>
  </w:style>
  <w:style w:type="character" w:customStyle="1" w:styleId="17">
    <w:name w:val="Body Text Char"/>
    <w:basedOn w:val="9"/>
    <w:link w:val="5"/>
    <w:qFormat/>
    <w:uiPriority w:val="1"/>
    <w:rPr>
      <w:rFonts w:ascii="Tw Cen MT" w:hAnsi="Tw Cen MT" w:eastAsia="Tw Cen MT" w:cs="Tw Cen MT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566</Words>
  <Characters>3227</Characters>
  <Lines>26</Lines>
  <Paragraphs>7</Paragraphs>
  <TotalTime>0</TotalTime>
  <ScaleCrop>false</ScaleCrop>
  <LinksUpToDate>false</LinksUpToDate>
  <CharactersWithSpaces>3786</CharactersWithSpaces>
  <Application>WPS Office_10.1.0.6930_F1E327BC-269C-435d-A152-05C5408002CA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2016-08-31T10:27:00Z</dcterms:created>
  <dc:creator>mehaboobi shaik</dc:creator>
  <cp:lastModifiedBy>cpm</cp:lastModifiedBy>
  <dcterms:modified xsi:type="dcterms:W3CDTF">2017-11-07T04:42:19Z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KSOProductBuildVer">
    <vt:lpwstr>2052-10.1.0.6930</vt:lpwstr>
  </property>
</Properties>
</file>