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470F6F" w14:textId="77777777" w:rsidR="00C64944" w:rsidRPr="00C21381" w:rsidRDefault="00C64944" w:rsidP="002D2E4C">
      <w:pPr>
        <w:rPr>
          <w:rFonts w:ascii="Times New Roman" w:hAnsi="Times New Roman" w:cs="Times New Roman"/>
          <w:b/>
          <w:sz w:val="22"/>
          <w:szCs w:val="22"/>
        </w:rPr>
      </w:pPr>
      <w:r w:rsidRPr="00C21381">
        <w:rPr>
          <w:rFonts w:ascii="Times New Roman" w:hAnsi="Times New Roman" w:cs="Times New Roman"/>
          <w:b/>
          <w:sz w:val="22"/>
          <w:szCs w:val="22"/>
        </w:rPr>
        <w:t>Comparing anatomical and physiological mechanisms conferrin</w:t>
      </w:r>
      <w:r>
        <w:rPr>
          <w:rFonts w:ascii="Times New Roman" w:hAnsi="Times New Roman" w:cs="Times New Roman"/>
          <w:b/>
          <w:sz w:val="22"/>
          <w:szCs w:val="22"/>
        </w:rPr>
        <w:t>g drought stress tolerance in</w:t>
      </w:r>
      <w:r w:rsidRPr="00C21381">
        <w:rPr>
          <w:rFonts w:ascii="Times New Roman" w:hAnsi="Times New Roman" w:cs="Times New Roman"/>
          <w:b/>
          <w:sz w:val="22"/>
          <w:szCs w:val="22"/>
        </w:rPr>
        <w:t xml:space="preserve"> cultivated (</w:t>
      </w:r>
      <w:proofErr w:type="spellStart"/>
      <w:r w:rsidRPr="00C21381">
        <w:rPr>
          <w:rFonts w:ascii="Times New Roman" w:hAnsi="Times New Roman" w:cs="Times New Roman"/>
          <w:b/>
          <w:i/>
          <w:sz w:val="22"/>
          <w:szCs w:val="22"/>
        </w:rPr>
        <w:t>Hordeum</w:t>
      </w:r>
      <w:proofErr w:type="spellEnd"/>
      <w:r w:rsidRPr="00C21381">
        <w:rPr>
          <w:rFonts w:ascii="Times New Roman" w:hAnsi="Times New Roman" w:cs="Times New Roman"/>
          <w:b/>
          <w:i/>
          <w:sz w:val="22"/>
          <w:szCs w:val="22"/>
        </w:rPr>
        <w:t xml:space="preserve"> </w:t>
      </w:r>
      <w:proofErr w:type="spellStart"/>
      <w:r w:rsidRPr="00C21381">
        <w:rPr>
          <w:rFonts w:ascii="Times New Roman" w:hAnsi="Times New Roman" w:cs="Times New Roman"/>
          <w:b/>
          <w:i/>
          <w:sz w:val="22"/>
          <w:szCs w:val="22"/>
        </w:rPr>
        <w:t>vulgare</w:t>
      </w:r>
      <w:proofErr w:type="spellEnd"/>
      <w:r>
        <w:rPr>
          <w:rFonts w:ascii="Times New Roman" w:hAnsi="Times New Roman" w:cs="Times New Roman"/>
          <w:b/>
          <w:sz w:val="22"/>
          <w:szCs w:val="22"/>
        </w:rPr>
        <w:t xml:space="preserve"> L.) </w:t>
      </w:r>
      <w:r w:rsidRPr="00C21381">
        <w:rPr>
          <w:rFonts w:ascii="Times New Roman" w:hAnsi="Times New Roman" w:cs="Times New Roman"/>
          <w:b/>
          <w:sz w:val="22"/>
          <w:szCs w:val="22"/>
        </w:rPr>
        <w:t>and wild (</w:t>
      </w:r>
      <w:r w:rsidRPr="00C21381">
        <w:rPr>
          <w:rFonts w:ascii="Times New Roman" w:hAnsi="Times New Roman" w:cs="Times New Roman"/>
          <w:b/>
          <w:i/>
          <w:iCs/>
          <w:sz w:val="22"/>
          <w:szCs w:val="22"/>
        </w:rPr>
        <w:t xml:space="preserve">H. </w:t>
      </w:r>
      <w:proofErr w:type="spellStart"/>
      <w:r w:rsidRPr="00C21381">
        <w:rPr>
          <w:rFonts w:ascii="Times New Roman" w:hAnsi="Times New Roman" w:cs="Times New Roman"/>
          <w:b/>
          <w:i/>
          <w:iCs/>
          <w:sz w:val="22"/>
          <w:szCs w:val="22"/>
        </w:rPr>
        <w:t>spontaneum</w:t>
      </w:r>
      <w:proofErr w:type="spellEnd"/>
      <w:r w:rsidRPr="00C21381">
        <w:rPr>
          <w:rFonts w:ascii="Times New Roman" w:hAnsi="Times New Roman" w:cs="Times New Roman"/>
          <w:b/>
          <w:sz w:val="22"/>
          <w:szCs w:val="22"/>
        </w:rPr>
        <w:t>) barley genotypes</w:t>
      </w:r>
      <w:r w:rsidRPr="00C21381">
        <w:rPr>
          <w:rFonts w:ascii="Arial" w:hAnsi="Arial" w:cs="Arial"/>
          <w:b/>
          <w:sz w:val="22"/>
          <w:szCs w:val="22"/>
        </w:rPr>
        <w:t xml:space="preserve"> </w:t>
      </w:r>
    </w:p>
    <w:p w14:paraId="7827EA71" w14:textId="77777777" w:rsidR="00C64944" w:rsidRDefault="00C64944" w:rsidP="002D2E4C">
      <w:pPr>
        <w:rPr>
          <w:rFonts w:ascii="Times New Roman" w:hAnsi="Times New Roman" w:cs="Times New Roman"/>
        </w:rPr>
      </w:pPr>
    </w:p>
    <w:p w14:paraId="2E59D814" w14:textId="77777777" w:rsidR="00C64944" w:rsidRDefault="00C64944" w:rsidP="002D2E4C">
      <w:pPr>
        <w:rPr>
          <w:rFonts w:ascii="Times New Roman" w:hAnsi="Times New Roman" w:cs="Times New Roman"/>
        </w:rPr>
      </w:pPr>
    </w:p>
    <w:p w14:paraId="47C347D0" w14:textId="77777777" w:rsidR="00C64944" w:rsidRPr="00AA6DFE" w:rsidRDefault="00C64944" w:rsidP="002D2E4C">
      <w:pPr>
        <w:rPr>
          <w:rFonts w:ascii="Arial" w:hAnsi="Arial" w:cs="Arial"/>
          <w:sz w:val="18"/>
          <w:szCs w:val="18"/>
        </w:rPr>
      </w:pPr>
      <w:r w:rsidRPr="00AA6DFE">
        <w:rPr>
          <w:rFonts w:ascii="Arial" w:hAnsi="Arial" w:cs="Arial"/>
          <w:sz w:val="18"/>
          <w:szCs w:val="18"/>
        </w:rPr>
        <w:t xml:space="preserve">Amarah Batool, Sergey </w:t>
      </w:r>
      <w:proofErr w:type="spellStart"/>
      <w:r w:rsidRPr="00AA6DFE">
        <w:rPr>
          <w:rFonts w:ascii="Arial" w:hAnsi="Arial" w:cs="Arial"/>
          <w:sz w:val="18"/>
          <w:szCs w:val="18"/>
        </w:rPr>
        <w:t>Shabala</w:t>
      </w:r>
      <w:proofErr w:type="spellEnd"/>
      <w:r w:rsidRPr="00AA6DFE">
        <w:rPr>
          <w:rFonts w:ascii="Arial" w:hAnsi="Arial" w:cs="Arial"/>
          <w:sz w:val="18"/>
          <w:szCs w:val="18"/>
        </w:rPr>
        <w:t xml:space="preserve">, </w:t>
      </w:r>
      <w:proofErr w:type="spellStart"/>
      <w:r w:rsidRPr="00AA6DFE">
        <w:rPr>
          <w:rFonts w:ascii="Arial" w:hAnsi="Arial" w:cs="Arial"/>
          <w:sz w:val="18"/>
          <w:szCs w:val="18"/>
        </w:rPr>
        <w:t>Meixue</w:t>
      </w:r>
      <w:proofErr w:type="spellEnd"/>
      <w:r w:rsidRPr="00AA6DFE">
        <w:rPr>
          <w:rFonts w:ascii="Arial" w:hAnsi="Arial" w:cs="Arial"/>
          <w:sz w:val="18"/>
          <w:szCs w:val="18"/>
        </w:rPr>
        <w:t xml:space="preserve"> Zhou</w:t>
      </w:r>
    </w:p>
    <w:p w14:paraId="29A6DA85" w14:textId="77777777" w:rsidR="00C64944" w:rsidRPr="00AA6DFE" w:rsidRDefault="00C64944" w:rsidP="002D2E4C">
      <w:pPr>
        <w:rPr>
          <w:rFonts w:ascii="Arial" w:hAnsi="Arial" w:cs="Arial"/>
          <w:sz w:val="22"/>
          <w:szCs w:val="22"/>
        </w:rPr>
      </w:pPr>
      <w:r w:rsidRPr="00AA6DFE">
        <w:rPr>
          <w:rFonts w:ascii="Arial" w:hAnsi="Arial" w:cs="Arial"/>
          <w:sz w:val="18"/>
          <w:szCs w:val="18"/>
        </w:rPr>
        <w:t>School of Land and Food, University of Tasmania, Hobart, Tasmania, 7005, Australia</w:t>
      </w:r>
    </w:p>
    <w:p w14:paraId="0119DFA3" w14:textId="77777777" w:rsidR="00C64944" w:rsidRDefault="00C64944" w:rsidP="002D2E4C">
      <w:pPr>
        <w:spacing w:line="360" w:lineRule="auto"/>
        <w:jc w:val="both"/>
        <w:rPr>
          <w:rFonts w:ascii="Times New Roman" w:hAnsi="Times New Roman" w:cs="Times New Roman"/>
        </w:rPr>
        <w:sectPr w:rsidR="00C64944" w:rsidSect="00C64944">
          <w:pgSz w:w="11900" w:h="16840"/>
          <w:pgMar w:top="1440" w:right="1800" w:bottom="1440" w:left="1800" w:header="708" w:footer="708" w:gutter="0"/>
          <w:cols w:space="708"/>
          <w:docGrid w:linePitch="360"/>
        </w:sectPr>
      </w:pPr>
    </w:p>
    <w:p w14:paraId="58A50FFC" w14:textId="77777777" w:rsidR="00C64944" w:rsidRPr="009E2466" w:rsidRDefault="00C64944" w:rsidP="002D2E4C">
      <w:pPr>
        <w:spacing w:line="360" w:lineRule="auto"/>
        <w:jc w:val="both"/>
        <w:rPr>
          <w:rFonts w:ascii="Times New Roman" w:hAnsi="Times New Roman" w:cs="Times New Roman"/>
          <w:sz w:val="18"/>
          <w:szCs w:val="18"/>
        </w:rPr>
      </w:pPr>
    </w:p>
    <w:p w14:paraId="5574E6C4" w14:textId="77777777" w:rsidR="00F43C4A" w:rsidRDefault="00C64944" w:rsidP="002D2E4C">
      <w:pPr>
        <w:spacing w:line="360" w:lineRule="auto"/>
        <w:jc w:val="both"/>
        <w:rPr>
          <w:rFonts w:ascii="Times New Roman" w:hAnsi="Times New Roman" w:cs="Times New Roman"/>
          <w:sz w:val="18"/>
          <w:szCs w:val="18"/>
        </w:rPr>
      </w:pPr>
      <w:r w:rsidRPr="009E2466">
        <w:rPr>
          <w:rFonts w:ascii="Times New Roman" w:hAnsi="Times New Roman" w:cs="Times New Roman"/>
          <w:sz w:val="18"/>
          <w:szCs w:val="18"/>
        </w:rPr>
        <w:t xml:space="preserve">Drought is the most prevalent environmental stress that limits plant growth and productivity all across the globe. Barley is one of the most important cereal crop grown worldwide, where it is often subjected to extreme water stress that significantly affects its production. It is also known that wild (Tibetan) barley possesses higher drought tolerance but this trait has been lost during domestication. This study aimed to identify different physiological and anatomical mechanisms conferring drought stress tolerance in wild and cultivated barley, in order to incorporate these traits back in cultivated high yielding varieties. In this study eight barley (two Tibetan wild X123, X030 and six cultivated ZUG293, Franklin, </w:t>
      </w:r>
      <w:proofErr w:type="spellStart"/>
      <w:r w:rsidRPr="009E2466">
        <w:rPr>
          <w:rFonts w:ascii="Times New Roman" w:hAnsi="Times New Roman" w:cs="Times New Roman"/>
          <w:sz w:val="18"/>
          <w:szCs w:val="18"/>
        </w:rPr>
        <w:t>Numar</w:t>
      </w:r>
      <w:proofErr w:type="spellEnd"/>
      <w:r w:rsidRPr="009E2466">
        <w:rPr>
          <w:rFonts w:ascii="Times New Roman" w:hAnsi="Times New Roman" w:cs="Times New Roman"/>
          <w:sz w:val="18"/>
          <w:szCs w:val="18"/>
        </w:rPr>
        <w:t xml:space="preserve">, </w:t>
      </w:r>
      <w:proofErr w:type="spellStart"/>
      <w:r w:rsidRPr="009E2466">
        <w:rPr>
          <w:rFonts w:ascii="Times New Roman" w:hAnsi="Times New Roman" w:cs="Times New Roman"/>
          <w:sz w:val="18"/>
          <w:szCs w:val="18"/>
        </w:rPr>
        <w:t>Gairdener</w:t>
      </w:r>
      <w:proofErr w:type="spellEnd"/>
      <w:r w:rsidRPr="009E2466">
        <w:rPr>
          <w:rFonts w:ascii="Times New Roman" w:hAnsi="Times New Roman" w:cs="Times New Roman"/>
          <w:sz w:val="18"/>
          <w:szCs w:val="18"/>
        </w:rPr>
        <w:t xml:space="preserve">, Commander and Fleet) genotypes contrasting in their drought stress tolerance were used. Plants were grown under glasshouse conditions and were watered at three different regimes: control (100% field capacity) and two deficient irrigations (25% and 12% field capacity, respectively). Anatomical (root length and </w:t>
      </w:r>
      <w:proofErr w:type="spellStart"/>
      <w:r w:rsidRPr="009E2466">
        <w:rPr>
          <w:rFonts w:ascii="Times New Roman" w:hAnsi="Times New Roman" w:cs="Times New Roman"/>
          <w:sz w:val="18"/>
          <w:szCs w:val="18"/>
        </w:rPr>
        <w:t>stomatal</w:t>
      </w:r>
      <w:proofErr w:type="spellEnd"/>
      <w:r w:rsidRPr="009E2466">
        <w:rPr>
          <w:rFonts w:ascii="Times New Roman" w:hAnsi="Times New Roman" w:cs="Times New Roman"/>
          <w:sz w:val="18"/>
          <w:szCs w:val="18"/>
        </w:rPr>
        <w:t xml:space="preserve"> density) and physiological traits (leaf water potential; </w:t>
      </w:r>
      <w:r w:rsidR="00F43C4A">
        <w:rPr>
          <w:rFonts w:ascii="Times New Roman" w:hAnsi="Times New Roman" w:cs="Times New Roman"/>
          <w:sz w:val="18"/>
          <w:szCs w:val="18"/>
        </w:rPr>
        <w:t xml:space="preserve">relative water content; </w:t>
      </w:r>
      <w:r w:rsidRPr="009E2466">
        <w:rPr>
          <w:rFonts w:ascii="Times New Roman" w:hAnsi="Times New Roman" w:cs="Times New Roman"/>
          <w:sz w:val="18"/>
          <w:szCs w:val="18"/>
        </w:rPr>
        <w:t xml:space="preserve">organic </w:t>
      </w:r>
      <w:proofErr w:type="spellStart"/>
      <w:r w:rsidRPr="009E2466">
        <w:rPr>
          <w:rFonts w:ascii="Times New Roman" w:hAnsi="Times New Roman" w:cs="Times New Roman"/>
          <w:sz w:val="18"/>
          <w:szCs w:val="18"/>
        </w:rPr>
        <w:t>osmolyte</w:t>
      </w:r>
      <w:proofErr w:type="spellEnd"/>
      <w:r w:rsidRPr="009E2466">
        <w:rPr>
          <w:rFonts w:ascii="Times New Roman" w:hAnsi="Times New Roman" w:cs="Times New Roman"/>
          <w:sz w:val="18"/>
          <w:szCs w:val="18"/>
        </w:rPr>
        <w:t xml:space="preserve"> </w:t>
      </w:r>
      <w:proofErr w:type="spellStart"/>
      <w:r w:rsidRPr="009E2466">
        <w:rPr>
          <w:rFonts w:ascii="Times New Roman" w:hAnsi="Times New Roman" w:cs="Times New Roman"/>
          <w:sz w:val="18"/>
          <w:szCs w:val="18"/>
        </w:rPr>
        <w:t>i.e</w:t>
      </w:r>
      <w:proofErr w:type="spellEnd"/>
      <w:r w:rsidRPr="009E2466">
        <w:rPr>
          <w:rFonts w:ascii="Times New Roman" w:hAnsi="Times New Roman" w:cs="Times New Roman"/>
          <w:sz w:val="18"/>
          <w:szCs w:val="18"/>
        </w:rPr>
        <w:t xml:space="preserve">, total soluble sugars and total amino acids; </w:t>
      </w:r>
      <w:proofErr w:type="spellStart"/>
      <w:r w:rsidRPr="009E2466">
        <w:rPr>
          <w:rFonts w:ascii="Times New Roman" w:hAnsi="Times New Roman" w:cs="Times New Roman"/>
          <w:sz w:val="18"/>
          <w:szCs w:val="18"/>
        </w:rPr>
        <w:t>stomatal</w:t>
      </w:r>
      <w:proofErr w:type="spellEnd"/>
      <w:r w:rsidRPr="009E2466">
        <w:rPr>
          <w:rFonts w:ascii="Times New Roman" w:hAnsi="Times New Roman" w:cs="Times New Roman"/>
          <w:sz w:val="18"/>
          <w:szCs w:val="18"/>
        </w:rPr>
        <w:t xml:space="preserve"> conductance; leaf and root nutrients and osmolality) were measured and compared. A strong positive correlation was found between the drought tolerance index and all the traits </w:t>
      </w:r>
      <w:r w:rsidR="002D2E4C" w:rsidRPr="009E2466">
        <w:rPr>
          <w:rFonts w:ascii="Times New Roman" w:hAnsi="Times New Roman" w:cs="Times New Roman"/>
          <w:sz w:val="18"/>
          <w:szCs w:val="18"/>
        </w:rPr>
        <w:t xml:space="preserve">under drought stress </w:t>
      </w:r>
      <w:r w:rsidRPr="009E2466">
        <w:rPr>
          <w:rFonts w:ascii="Times New Roman" w:hAnsi="Times New Roman" w:cs="Times New Roman"/>
          <w:sz w:val="18"/>
          <w:szCs w:val="18"/>
        </w:rPr>
        <w:t xml:space="preserve">except </w:t>
      </w:r>
      <w:r w:rsidR="002D2E4C" w:rsidRPr="009E2466">
        <w:rPr>
          <w:rFonts w:ascii="Times New Roman" w:hAnsi="Times New Roman" w:cs="Times New Roman"/>
          <w:sz w:val="18"/>
          <w:szCs w:val="18"/>
        </w:rPr>
        <w:t>root length, root K</w:t>
      </w:r>
      <w:r w:rsidR="002D2E4C" w:rsidRPr="00F43C4A">
        <w:rPr>
          <w:rFonts w:ascii="Times New Roman" w:hAnsi="Times New Roman" w:cs="Times New Roman"/>
          <w:sz w:val="18"/>
          <w:szCs w:val="18"/>
          <w:vertAlign w:val="superscript"/>
        </w:rPr>
        <w:t>+</w:t>
      </w:r>
      <w:r w:rsidR="002D2E4C" w:rsidRPr="009E2466">
        <w:rPr>
          <w:rFonts w:ascii="Times New Roman" w:hAnsi="Times New Roman" w:cs="Times New Roman"/>
          <w:sz w:val="18"/>
          <w:szCs w:val="18"/>
        </w:rPr>
        <w:t xml:space="preserve">, </w:t>
      </w:r>
      <w:r w:rsidRPr="009E2466">
        <w:rPr>
          <w:rFonts w:ascii="Times New Roman" w:hAnsi="Times New Roman" w:cs="Times New Roman"/>
          <w:sz w:val="18"/>
          <w:szCs w:val="18"/>
        </w:rPr>
        <w:t>leaf N</w:t>
      </w:r>
      <w:r w:rsidRPr="00F43C4A">
        <w:rPr>
          <w:rFonts w:ascii="Times New Roman" w:hAnsi="Times New Roman" w:cs="Times New Roman"/>
          <w:sz w:val="18"/>
          <w:szCs w:val="18"/>
          <w:vertAlign w:val="superscript"/>
        </w:rPr>
        <w:t>+</w:t>
      </w:r>
      <w:r w:rsidRPr="009E2466">
        <w:rPr>
          <w:rFonts w:ascii="Times New Roman" w:hAnsi="Times New Roman" w:cs="Times New Roman"/>
          <w:sz w:val="18"/>
          <w:szCs w:val="18"/>
        </w:rPr>
        <w:t xml:space="preserve"> and leaf </w:t>
      </w:r>
      <w:proofErr w:type="spellStart"/>
      <w:r w:rsidRPr="009E2466">
        <w:rPr>
          <w:rFonts w:ascii="Times New Roman" w:hAnsi="Times New Roman" w:cs="Times New Roman"/>
          <w:sz w:val="18"/>
          <w:szCs w:val="18"/>
        </w:rPr>
        <w:t>Cl</w:t>
      </w:r>
      <w:proofErr w:type="spellEnd"/>
      <w:r w:rsidRPr="00F43C4A">
        <w:rPr>
          <w:rFonts w:ascii="Times New Roman" w:hAnsi="Times New Roman" w:cs="Times New Roman"/>
          <w:sz w:val="18"/>
          <w:szCs w:val="18"/>
          <w:vertAlign w:val="superscript"/>
        </w:rPr>
        <w:t>-</w:t>
      </w:r>
      <w:r w:rsidRPr="009E2466">
        <w:rPr>
          <w:rFonts w:ascii="Times New Roman" w:hAnsi="Times New Roman" w:cs="Times New Roman"/>
          <w:sz w:val="18"/>
          <w:szCs w:val="18"/>
        </w:rPr>
        <w:t xml:space="preserve"> under water stress conditions.</w:t>
      </w:r>
      <w:r w:rsidR="00F43C4A">
        <w:rPr>
          <w:rFonts w:ascii="Times New Roman" w:hAnsi="Times New Roman" w:cs="Times New Roman"/>
          <w:sz w:val="18"/>
          <w:szCs w:val="18"/>
        </w:rPr>
        <w:t xml:space="preserve"> </w:t>
      </w:r>
      <w:r w:rsidR="00EF3DC8" w:rsidRPr="009E2466">
        <w:rPr>
          <w:rFonts w:ascii="Times New Roman" w:hAnsi="Times New Roman" w:cs="Times New Roman"/>
          <w:sz w:val="18"/>
          <w:szCs w:val="18"/>
        </w:rPr>
        <w:t>Among</w:t>
      </w:r>
      <w:r w:rsidR="009E2466" w:rsidRPr="009E2466">
        <w:rPr>
          <w:rFonts w:ascii="Times New Roman" w:hAnsi="Times New Roman" w:cs="Times New Roman"/>
          <w:sz w:val="18"/>
          <w:szCs w:val="18"/>
        </w:rPr>
        <w:t xml:space="preserve"> all genotypes,</w:t>
      </w:r>
      <w:r w:rsidR="00EF3DC8" w:rsidRPr="009E2466">
        <w:rPr>
          <w:rFonts w:ascii="Times New Roman" w:hAnsi="Times New Roman" w:cs="Times New Roman"/>
          <w:sz w:val="18"/>
          <w:szCs w:val="18"/>
        </w:rPr>
        <w:t xml:space="preserve"> wild genotypes showed moderate drought toler</w:t>
      </w:r>
      <w:r w:rsidR="009E2466" w:rsidRPr="009E2466">
        <w:rPr>
          <w:rFonts w:ascii="Times New Roman" w:hAnsi="Times New Roman" w:cs="Times New Roman"/>
          <w:sz w:val="18"/>
          <w:szCs w:val="18"/>
        </w:rPr>
        <w:t xml:space="preserve">ance while some of cultivated ones </w:t>
      </w:r>
      <w:r w:rsidR="00EF3DC8" w:rsidRPr="009E2466">
        <w:rPr>
          <w:rFonts w:ascii="Times New Roman" w:hAnsi="Times New Roman" w:cs="Times New Roman"/>
          <w:sz w:val="18"/>
          <w:szCs w:val="18"/>
        </w:rPr>
        <w:t>were highly drought tolerance, where</w:t>
      </w:r>
      <w:r w:rsidR="009E2466" w:rsidRPr="009E2466">
        <w:rPr>
          <w:rFonts w:ascii="Times New Roman" w:hAnsi="Times New Roman" w:cs="Times New Roman"/>
          <w:sz w:val="18"/>
          <w:szCs w:val="18"/>
        </w:rPr>
        <w:t xml:space="preserve"> as some were highly sensitive.</w:t>
      </w:r>
      <w:r w:rsidR="00F43C4A">
        <w:rPr>
          <w:rFonts w:ascii="Times New Roman" w:hAnsi="Times New Roman" w:cs="Times New Roman"/>
          <w:sz w:val="18"/>
          <w:szCs w:val="18"/>
        </w:rPr>
        <w:t xml:space="preserve"> </w:t>
      </w:r>
      <w:r w:rsidR="009820E5" w:rsidRPr="009E2466">
        <w:rPr>
          <w:rFonts w:ascii="Times New Roman" w:hAnsi="Times New Roman" w:cs="Times New Roman"/>
          <w:sz w:val="18"/>
          <w:szCs w:val="18"/>
        </w:rPr>
        <w:t xml:space="preserve">Drought tolerance in wild and tolerant barley genotypes was complex and showed high variability in the performance of studied traits regarding drought tolerance. </w:t>
      </w:r>
      <w:r w:rsidR="0025102B" w:rsidRPr="009E2466">
        <w:rPr>
          <w:rFonts w:ascii="Times New Roman" w:hAnsi="Times New Roman" w:cs="Times New Roman"/>
          <w:sz w:val="18"/>
          <w:szCs w:val="18"/>
        </w:rPr>
        <w:t xml:space="preserve">Genotypes ZUG293 and </w:t>
      </w:r>
      <w:proofErr w:type="spellStart"/>
      <w:r w:rsidR="0025102B" w:rsidRPr="009E2466">
        <w:rPr>
          <w:rFonts w:ascii="Times New Roman" w:hAnsi="Times New Roman" w:cs="Times New Roman"/>
          <w:sz w:val="18"/>
          <w:szCs w:val="18"/>
        </w:rPr>
        <w:t>Numar</w:t>
      </w:r>
      <w:proofErr w:type="spellEnd"/>
      <w:r w:rsidR="0025102B" w:rsidRPr="009E2466">
        <w:rPr>
          <w:rFonts w:ascii="Times New Roman" w:hAnsi="Times New Roman" w:cs="Times New Roman"/>
          <w:sz w:val="18"/>
          <w:szCs w:val="18"/>
        </w:rPr>
        <w:t xml:space="preserve"> possessed great tolerance associated </w:t>
      </w:r>
    </w:p>
    <w:p w14:paraId="3EF5FCB8" w14:textId="77777777" w:rsidR="00F43C4A" w:rsidRDefault="00F43C4A" w:rsidP="002D2E4C">
      <w:pPr>
        <w:spacing w:line="360" w:lineRule="auto"/>
        <w:jc w:val="both"/>
        <w:rPr>
          <w:rFonts w:ascii="Times New Roman" w:hAnsi="Times New Roman" w:cs="Times New Roman"/>
          <w:sz w:val="18"/>
          <w:szCs w:val="18"/>
        </w:rPr>
      </w:pPr>
    </w:p>
    <w:p w14:paraId="7DECFA7B" w14:textId="77777777" w:rsidR="00F43C4A" w:rsidRDefault="00F43C4A" w:rsidP="002D2E4C">
      <w:pPr>
        <w:spacing w:line="360" w:lineRule="auto"/>
        <w:jc w:val="both"/>
        <w:rPr>
          <w:rFonts w:ascii="Times New Roman" w:hAnsi="Times New Roman" w:cs="Times New Roman"/>
          <w:sz w:val="18"/>
          <w:szCs w:val="18"/>
        </w:rPr>
      </w:pPr>
    </w:p>
    <w:p w14:paraId="268F8211" w14:textId="765FBAF0" w:rsidR="000647FD" w:rsidRPr="009E2466" w:rsidRDefault="0025102B" w:rsidP="002D2E4C">
      <w:pPr>
        <w:spacing w:line="360" w:lineRule="auto"/>
        <w:jc w:val="both"/>
        <w:rPr>
          <w:rFonts w:ascii="Times New Roman" w:hAnsi="Times New Roman" w:cs="Times New Roman"/>
          <w:sz w:val="18"/>
          <w:szCs w:val="18"/>
        </w:rPr>
      </w:pPr>
      <w:proofErr w:type="gramStart"/>
      <w:r w:rsidRPr="009E2466">
        <w:rPr>
          <w:rFonts w:ascii="Times New Roman" w:hAnsi="Times New Roman" w:cs="Times New Roman"/>
          <w:sz w:val="18"/>
          <w:szCs w:val="18"/>
        </w:rPr>
        <w:t>while</w:t>
      </w:r>
      <w:proofErr w:type="gramEnd"/>
      <w:r w:rsidRPr="009E2466">
        <w:rPr>
          <w:rFonts w:ascii="Times New Roman" w:hAnsi="Times New Roman" w:cs="Times New Roman"/>
          <w:sz w:val="18"/>
          <w:szCs w:val="18"/>
        </w:rPr>
        <w:t xml:space="preserve"> </w:t>
      </w:r>
      <w:proofErr w:type="spellStart"/>
      <w:r w:rsidRPr="009E2466">
        <w:rPr>
          <w:rFonts w:ascii="Times New Roman" w:hAnsi="Times New Roman" w:cs="Times New Roman"/>
          <w:sz w:val="18"/>
          <w:szCs w:val="18"/>
        </w:rPr>
        <w:t>Gairdener</w:t>
      </w:r>
      <w:proofErr w:type="spellEnd"/>
      <w:r w:rsidRPr="009E2466">
        <w:rPr>
          <w:rFonts w:ascii="Times New Roman" w:hAnsi="Times New Roman" w:cs="Times New Roman"/>
          <w:sz w:val="18"/>
          <w:szCs w:val="18"/>
        </w:rPr>
        <w:t xml:space="preserve"> showed highest susceptibility against drought stress. However, X030 exhibited drought tolerance only on the basis of increase of Potassium uptake in leaf and total amino acids under drought as compared with sensitive barley genotypes</w:t>
      </w:r>
    </w:p>
    <w:p w14:paraId="6A7D9CF1" w14:textId="77777777" w:rsidR="000647FD" w:rsidRPr="009E2466" w:rsidRDefault="000647FD" w:rsidP="002D2E4C">
      <w:pPr>
        <w:spacing w:line="360" w:lineRule="auto"/>
        <w:jc w:val="both"/>
        <w:rPr>
          <w:rFonts w:ascii="Times New Roman" w:hAnsi="Times New Roman" w:cs="Times New Roman"/>
          <w:sz w:val="18"/>
          <w:szCs w:val="18"/>
        </w:rPr>
      </w:pPr>
    </w:p>
    <w:p w14:paraId="7F4F2E7E" w14:textId="77777777" w:rsidR="00C64944" w:rsidRDefault="00C64944" w:rsidP="002D2E4C">
      <w:pPr>
        <w:spacing w:line="360" w:lineRule="auto"/>
        <w:jc w:val="both"/>
        <w:rPr>
          <w:rFonts w:ascii="Times New Roman" w:hAnsi="Times New Roman" w:cs="Times New Roman"/>
          <w:sz w:val="22"/>
          <w:szCs w:val="22"/>
        </w:rPr>
      </w:pPr>
    </w:p>
    <w:p w14:paraId="21A74C10" w14:textId="77777777" w:rsidR="00F43C4A" w:rsidRDefault="00F43C4A" w:rsidP="002D2E4C">
      <w:pPr>
        <w:spacing w:line="360" w:lineRule="auto"/>
        <w:jc w:val="both"/>
        <w:rPr>
          <w:rFonts w:ascii="Times New Roman" w:hAnsi="Times New Roman" w:cs="Times New Roman"/>
          <w:sz w:val="22"/>
          <w:szCs w:val="22"/>
        </w:rPr>
      </w:pPr>
    </w:p>
    <w:p w14:paraId="6534DCEC" w14:textId="2A1DD955" w:rsidR="00C64944" w:rsidRPr="00AA6DFE" w:rsidRDefault="00C64944" w:rsidP="00F43C4A">
      <w:pPr>
        <w:spacing w:line="360" w:lineRule="auto"/>
        <w:jc w:val="both"/>
        <w:rPr>
          <w:rFonts w:ascii="Times New Roman" w:hAnsi="Times New Roman" w:cs="Times New Roman"/>
          <w:sz w:val="22"/>
          <w:szCs w:val="22"/>
        </w:rPr>
      </w:pPr>
      <w:r w:rsidRPr="00AA6DFE">
        <w:rPr>
          <w:rFonts w:ascii="Times New Roman" w:hAnsi="Times New Roman" w:cs="Times New Roman"/>
          <w:sz w:val="22"/>
          <w:szCs w:val="22"/>
        </w:rPr>
        <w:t>Publications:</w:t>
      </w:r>
    </w:p>
    <w:p w14:paraId="380C40F2" w14:textId="77777777" w:rsidR="00C64944" w:rsidRPr="00F43C4A" w:rsidRDefault="00C64944" w:rsidP="002D2E4C">
      <w:pPr>
        <w:pStyle w:val="EndNoteBibliography"/>
        <w:rPr>
          <w:rFonts w:ascii="Times New Roman" w:hAnsi="Times New Roman" w:cs="Times New Roman"/>
          <w:noProof/>
          <w:sz w:val="18"/>
          <w:szCs w:val="18"/>
        </w:rPr>
      </w:pPr>
      <w:r w:rsidRPr="00F43C4A">
        <w:rPr>
          <w:rFonts w:ascii="Times New Roman" w:hAnsi="Times New Roman" w:cs="Times New Roman"/>
          <w:noProof/>
          <w:sz w:val="18"/>
          <w:szCs w:val="18"/>
        </w:rPr>
        <w:t>Batool A, Noorka IR, Afzal M, Syed AH. Estimation of Heterosis, Heterobeltiosis and Potence Ratio Over Environments Among Pre and Post Green Revolution Spring wheat in Pakistan. Journal of Basic &amp; Applied Sciences. 2013;9:36.</w:t>
      </w:r>
    </w:p>
    <w:p w14:paraId="49245D61" w14:textId="77777777" w:rsidR="004B04DB" w:rsidRPr="00F43C4A" w:rsidRDefault="00C64944" w:rsidP="00C64944">
      <w:pPr>
        <w:pStyle w:val="EndNoteBibliography"/>
        <w:rPr>
          <w:rFonts w:ascii="Times New Roman" w:hAnsi="Times New Roman" w:cs="Times New Roman"/>
          <w:noProof/>
          <w:sz w:val="18"/>
          <w:szCs w:val="18"/>
        </w:rPr>
      </w:pPr>
      <w:r w:rsidRPr="00F43C4A">
        <w:rPr>
          <w:rFonts w:ascii="Times New Roman" w:hAnsi="Times New Roman" w:cs="Times New Roman"/>
          <w:noProof/>
          <w:sz w:val="18"/>
          <w:szCs w:val="18"/>
        </w:rPr>
        <w:t>Noorka IR, Batool A, Rauf S, Teixeira da Silva J, Ashraf E. Estimation of heterosis in wheat (Triticum aestivum L.) under contrasting water regimes. International Journal of Plant Breeding. 2013;7:55-60</w:t>
      </w:r>
    </w:p>
    <w:p w14:paraId="131F276F" w14:textId="77777777" w:rsidR="00C64944" w:rsidRPr="00F43C4A" w:rsidRDefault="00C64944" w:rsidP="00C64944">
      <w:pPr>
        <w:pStyle w:val="EndNoteBibliography"/>
        <w:rPr>
          <w:rFonts w:ascii="Arial" w:hAnsi="Arial" w:cs="Arial"/>
          <w:noProof/>
          <w:sz w:val="18"/>
          <w:szCs w:val="18"/>
        </w:rPr>
      </w:pPr>
      <w:r w:rsidRPr="00F43C4A">
        <w:rPr>
          <w:rFonts w:ascii="Times New Roman" w:hAnsi="Times New Roman" w:cs="Times New Roman"/>
          <w:noProof/>
          <w:sz w:val="18"/>
          <w:szCs w:val="18"/>
        </w:rPr>
        <w:t>Noorka IR, Batool A, AlSultan S, Tabasum S, Ali A. Water stress tolerance, its relationship to stem reserve mobilization and potence ratio in spring wheat. American Journal of Plant Sciences. 2013a;4:231.</w:t>
      </w:r>
    </w:p>
    <w:p w14:paraId="6B0C4762" w14:textId="77777777" w:rsidR="009E2466" w:rsidRPr="00F43C4A" w:rsidRDefault="009E2466" w:rsidP="009E2466">
      <w:pPr>
        <w:pStyle w:val="EndNoteBibliography"/>
        <w:numPr>
          <w:ilvl w:val="0"/>
          <w:numId w:val="0"/>
        </w:numPr>
        <w:rPr>
          <w:rFonts w:ascii="Arial" w:hAnsi="Arial" w:cs="Arial"/>
          <w:sz w:val="18"/>
          <w:szCs w:val="18"/>
        </w:rPr>
      </w:pPr>
    </w:p>
    <w:p w14:paraId="15959F95" w14:textId="77777777" w:rsidR="009E2466" w:rsidRDefault="009E2466" w:rsidP="009E2466">
      <w:pPr>
        <w:pStyle w:val="EndNoteBibliography"/>
        <w:numPr>
          <w:ilvl w:val="0"/>
          <w:numId w:val="0"/>
        </w:numPr>
      </w:pPr>
      <w:bookmarkStart w:id="0" w:name="_GoBack"/>
      <w:proofErr w:type="spellStart"/>
      <w:r>
        <w:t>E.mail</w:t>
      </w:r>
      <w:proofErr w:type="spellEnd"/>
      <w:r>
        <w:t xml:space="preserve">: </w:t>
      </w:r>
      <w:hyperlink r:id="rId6" w:history="1">
        <w:r w:rsidRPr="009E2466">
          <w:rPr>
            <w:rStyle w:val="Hyperlink"/>
            <w:rFonts w:ascii="Times New Roman" w:hAnsi="Times New Roman" w:cs="Times New Roman"/>
            <w:sz w:val="22"/>
            <w:szCs w:val="22"/>
          </w:rPr>
          <w:t>Amarah.Batool@utas.edu.au</w:t>
        </w:r>
      </w:hyperlink>
      <w:proofErr w:type="gramStart"/>
      <w:r>
        <w:t xml:space="preserve">  Contact</w:t>
      </w:r>
      <w:proofErr w:type="gramEnd"/>
      <w:r>
        <w:t xml:space="preserve"> No: +61449723449</w:t>
      </w:r>
    </w:p>
    <w:p w14:paraId="2D3894F5" w14:textId="77777777" w:rsidR="00C64944" w:rsidRDefault="00C64944" w:rsidP="00C64944">
      <w:pPr>
        <w:pStyle w:val="EndNoteBibliography"/>
        <w:numPr>
          <w:ilvl w:val="0"/>
          <w:numId w:val="0"/>
        </w:numPr>
        <w:rPr>
          <w:rFonts w:ascii="Arial" w:hAnsi="Arial" w:cs="Arial"/>
          <w:sz w:val="18"/>
          <w:szCs w:val="18"/>
        </w:rPr>
      </w:pPr>
    </w:p>
    <w:bookmarkEnd w:id="0"/>
    <w:p w14:paraId="594BBDF2" w14:textId="77777777" w:rsidR="009E2466" w:rsidRDefault="009E2466" w:rsidP="00C64944">
      <w:pPr>
        <w:pStyle w:val="EndNoteBibliography"/>
        <w:numPr>
          <w:ilvl w:val="0"/>
          <w:numId w:val="0"/>
        </w:numPr>
        <w:rPr>
          <w:rFonts w:ascii="Arial" w:hAnsi="Arial" w:cs="Arial"/>
          <w:sz w:val="18"/>
          <w:szCs w:val="18"/>
        </w:rPr>
      </w:pPr>
    </w:p>
    <w:p w14:paraId="49C2DB82" w14:textId="77777777" w:rsidR="009E2466" w:rsidRDefault="009E2466" w:rsidP="00C64944">
      <w:pPr>
        <w:pStyle w:val="EndNoteBibliography"/>
        <w:numPr>
          <w:ilvl w:val="0"/>
          <w:numId w:val="0"/>
        </w:numPr>
        <w:rPr>
          <w:rFonts w:ascii="Arial" w:hAnsi="Arial" w:cs="Arial"/>
          <w:sz w:val="18"/>
          <w:szCs w:val="18"/>
        </w:rPr>
      </w:pPr>
    </w:p>
    <w:p w14:paraId="536BE7F6" w14:textId="77777777" w:rsidR="009E2466" w:rsidRDefault="009E2466" w:rsidP="00C64944">
      <w:pPr>
        <w:pStyle w:val="EndNoteBibliography"/>
        <w:numPr>
          <w:ilvl w:val="0"/>
          <w:numId w:val="0"/>
        </w:numPr>
        <w:rPr>
          <w:rFonts w:ascii="Arial" w:hAnsi="Arial" w:cs="Arial"/>
          <w:sz w:val="18"/>
          <w:szCs w:val="18"/>
        </w:rPr>
      </w:pPr>
    </w:p>
    <w:p w14:paraId="6DAEAB1F" w14:textId="77777777" w:rsidR="009E2466" w:rsidRDefault="009E2466" w:rsidP="00C64944">
      <w:pPr>
        <w:pStyle w:val="EndNoteBibliography"/>
        <w:numPr>
          <w:ilvl w:val="0"/>
          <w:numId w:val="0"/>
        </w:numPr>
        <w:rPr>
          <w:rFonts w:ascii="Arial" w:hAnsi="Arial" w:cs="Arial"/>
          <w:sz w:val="18"/>
          <w:szCs w:val="18"/>
        </w:rPr>
      </w:pPr>
    </w:p>
    <w:p w14:paraId="60E7AD89" w14:textId="77777777" w:rsidR="009E2466" w:rsidRDefault="009E2466" w:rsidP="00C64944">
      <w:pPr>
        <w:pStyle w:val="EndNoteBibliography"/>
        <w:numPr>
          <w:ilvl w:val="0"/>
          <w:numId w:val="0"/>
        </w:numPr>
        <w:rPr>
          <w:rFonts w:ascii="Arial" w:hAnsi="Arial" w:cs="Arial"/>
          <w:sz w:val="18"/>
          <w:szCs w:val="18"/>
        </w:rPr>
      </w:pPr>
    </w:p>
    <w:p w14:paraId="32F9428D" w14:textId="77777777" w:rsidR="009E2466" w:rsidRDefault="009E2466" w:rsidP="00C64944">
      <w:pPr>
        <w:pStyle w:val="EndNoteBibliography"/>
        <w:numPr>
          <w:ilvl w:val="0"/>
          <w:numId w:val="0"/>
        </w:numPr>
        <w:rPr>
          <w:rFonts w:ascii="Arial" w:hAnsi="Arial" w:cs="Arial"/>
          <w:sz w:val="18"/>
          <w:szCs w:val="18"/>
        </w:rPr>
      </w:pPr>
    </w:p>
    <w:p w14:paraId="1F7AF6A3" w14:textId="77777777" w:rsidR="009E2466" w:rsidRDefault="009E2466" w:rsidP="00C64944">
      <w:pPr>
        <w:pStyle w:val="EndNoteBibliography"/>
        <w:numPr>
          <w:ilvl w:val="0"/>
          <w:numId w:val="0"/>
        </w:numPr>
        <w:rPr>
          <w:rFonts w:ascii="Arial" w:hAnsi="Arial" w:cs="Arial"/>
          <w:sz w:val="18"/>
          <w:szCs w:val="18"/>
        </w:rPr>
      </w:pPr>
    </w:p>
    <w:p w14:paraId="4B5495C5" w14:textId="77777777" w:rsidR="009E2466" w:rsidRDefault="009E2466" w:rsidP="00C64944">
      <w:pPr>
        <w:pStyle w:val="EndNoteBibliography"/>
        <w:numPr>
          <w:ilvl w:val="0"/>
          <w:numId w:val="0"/>
        </w:numPr>
        <w:rPr>
          <w:rFonts w:ascii="Arial" w:hAnsi="Arial" w:cs="Arial"/>
          <w:sz w:val="18"/>
          <w:szCs w:val="18"/>
        </w:rPr>
      </w:pPr>
    </w:p>
    <w:p w14:paraId="07027625" w14:textId="77777777" w:rsidR="009E2466" w:rsidRDefault="009E2466" w:rsidP="00C64944">
      <w:pPr>
        <w:pStyle w:val="EndNoteBibliography"/>
        <w:numPr>
          <w:ilvl w:val="0"/>
          <w:numId w:val="0"/>
        </w:numPr>
        <w:rPr>
          <w:rFonts w:ascii="Arial" w:hAnsi="Arial" w:cs="Arial"/>
          <w:sz w:val="18"/>
          <w:szCs w:val="18"/>
        </w:rPr>
      </w:pPr>
    </w:p>
    <w:p w14:paraId="047B192D" w14:textId="77777777" w:rsidR="009E2466" w:rsidRDefault="009E2466" w:rsidP="00C64944">
      <w:pPr>
        <w:pStyle w:val="EndNoteBibliography"/>
        <w:numPr>
          <w:ilvl w:val="0"/>
          <w:numId w:val="0"/>
        </w:numPr>
        <w:rPr>
          <w:rFonts w:ascii="Arial" w:hAnsi="Arial" w:cs="Arial"/>
          <w:sz w:val="18"/>
          <w:szCs w:val="18"/>
        </w:rPr>
      </w:pPr>
    </w:p>
    <w:p w14:paraId="01817B83" w14:textId="77777777" w:rsidR="009E2466" w:rsidRDefault="009E2466" w:rsidP="00C64944">
      <w:pPr>
        <w:pStyle w:val="EndNoteBibliography"/>
        <w:numPr>
          <w:ilvl w:val="0"/>
          <w:numId w:val="0"/>
        </w:numPr>
        <w:rPr>
          <w:rFonts w:ascii="Arial" w:hAnsi="Arial" w:cs="Arial"/>
          <w:sz w:val="18"/>
          <w:szCs w:val="18"/>
        </w:rPr>
      </w:pPr>
    </w:p>
    <w:p w14:paraId="5F6C11DA" w14:textId="77777777" w:rsidR="009E2466" w:rsidRDefault="009E2466" w:rsidP="00C64944">
      <w:pPr>
        <w:pStyle w:val="EndNoteBibliography"/>
        <w:numPr>
          <w:ilvl w:val="0"/>
          <w:numId w:val="0"/>
        </w:numPr>
        <w:rPr>
          <w:rFonts w:ascii="Arial" w:hAnsi="Arial" w:cs="Arial"/>
          <w:sz w:val="18"/>
          <w:szCs w:val="18"/>
        </w:rPr>
      </w:pPr>
    </w:p>
    <w:p w14:paraId="4FF5BA0D" w14:textId="77777777" w:rsidR="009E2466" w:rsidRDefault="009E2466" w:rsidP="00C64944">
      <w:pPr>
        <w:pStyle w:val="EndNoteBibliography"/>
        <w:numPr>
          <w:ilvl w:val="0"/>
          <w:numId w:val="0"/>
        </w:numPr>
        <w:rPr>
          <w:rFonts w:ascii="Arial" w:hAnsi="Arial" w:cs="Arial"/>
          <w:sz w:val="18"/>
          <w:szCs w:val="18"/>
        </w:rPr>
      </w:pPr>
    </w:p>
    <w:p w14:paraId="20EF7292" w14:textId="77777777" w:rsidR="009E2466" w:rsidRDefault="009E2466" w:rsidP="00C64944">
      <w:pPr>
        <w:pStyle w:val="EndNoteBibliography"/>
        <w:numPr>
          <w:ilvl w:val="0"/>
          <w:numId w:val="0"/>
        </w:numPr>
        <w:rPr>
          <w:rFonts w:ascii="Arial" w:hAnsi="Arial" w:cs="Arial"/>
          <w:sz w:val="18"/>
          <w:szCs w:val="18"/>
        </w:rPr>
      </w:pPr>
    </w:p>
    <w:p w14:paraId="1D0B0975" w14:textId="77777777" w:rsidR="009E2466" w:rsidRDefault="009E2466" w:rsidP="00C64944">
      <w:pPr>
        <w:pStyle w:val="EndNoteBibliography"/>
        <w:numPr>
          <w:ilvl w:val="0"/>
          <w:numId w:val="0"/>
        </w:numPr>
        <w:rPr>
          <w:rFonts w:ascii="Arial" w:hAnsi="Arial" w:cs="Arial"/>
          <w:sz w:val="18"/>
          <w:szCs w:val="18"/>
        </w:rPr>
      </w:pPr>
    </w:p>
    <w:p w14:paraId="4B768CBE" w14:textId="77777777" w:rsidR="009E2466" w:rsidRDefault="009E2466" w:rsidP="00C64944">
      <w:pPr>
        <w:pStyle w:val="EndNoteBibliography"/>
        <w:numPr>
          <w:ilvl w:val="0"/>
          <w:numId w:val="0"/>
        </w:numPr>
        <w:rPr>
          <w:rFonts w:ascii="Arial" w:hAnsi="Arial" w:cs="Arial"/>
          <w:sz w:val="18"/>
          <w:szCs w:val="18"/>
        </w:rPr>
      </w:pPr>
    </w:p>
    <w:p w14:paraId="1E023A8E" w14:textId="77777777" w:rsidR="009E2466" w:rsidRDefault="009E2466" w:rsidP="00C64944">
      <w:pPr>
        <w:pStyle w:val="EndNoteBibliography"/>
        <w:numPr>
          <w:ilvl w:val="0"/>
          <w:numId w:val="0"/>
        </w:numPr>
        <w:rPr>
          <w:rFonts w:ascii="Arial" w:hAnsi="Arial" w:cs="Arial"/>
          <w:sz w:val="18"/>
          <w:szCs w:val="18"/>
        </w:rPr>
      </w:pPr>
    </w:p>
    <w:p w14:paraId="568D11C8" w14:textId="77777777" w:rsidR="009E2466" w:rsidRDefault="009E2466" w:rsidP="00C64944">
      <w:pPr>
        <w:pStyle w:val="EndNoteBibliography"/>
        <w:numPr>
          <w:ilvl w:val="0"/>
          <w:numId w:val="0"/>
        </w:numPr>
        <w:rPr>
          <w:rFonts w:ascii="Arial" w:hAnsi="Arial" w:cs="Arial"/>
          <w:sz w:val="18"/>
          <w:szCs w:val="18"/>
        </w:rPr>
      </w:pPr>
    </w:p>
    <w:p w14:paraId="7CF00855" w14:textId="77777777" w:rsidR="009E2466" w:rsidRDefault="009E2466" w:rsidP="00C64944">
      <w:pPr>
        <w:pStyle w:val="EndNoteBibliography"/>
        <w:numPr>
          <w:ilvl w:val="0"/>
          <w:numId w:val="0"/>
        </w:numPr>
        <w:rPr>
          <w:rFonts w:ascii="Arial" w:hAnsi="Arial" w:cs="Arial"/>
          <w:sz w:val="18"/>
          <w:szCs w:val="18"/>
        </w:rPr>
      </w:pPr>
    </w:p>
    <w:p w14:paraId="1F7CAD8D" w14:textId="77777777" w:rsidR="009E2466" w:rsidRDefault="009E2466" w:rsidP="00C64944">
      <w:pPr>
        <w:pStyle w:val="EndNoteBibliography"/>
        <w:numPr>
          <w:ilvl w:val="0"/>
          <w:numId w:val="0"/>
        </w:numPr>
        <w:rPr>
          <w:rFonts w:ascii="Arial" w:hAnsi="Arial" w:cs="Arial"/>
          <w:sz w:val="18"/>
          <w:szCs w:val="18"/>
        </w:rPr>
      </w:pPr>
    </w:p>
    <w:p w14:paraId="0D1AB9B1" w14:textId="77777777" w:rsidR="009E2466" w:rsidRDefault="009E2466" w:rsidP="00C64944">
      <w:pPr>
        <w:pStyle w:val="EndNoteBibliography"/>
        <w:numPr>
          <w:ilvl w:val="0"/>
          <w:numId w:val="0"/>
        </w:numPr>
        <w:rPr>
          <w:rFonts w:ascii="Arial" w:hAnsi="Arial" w:cs="Arial"/>
          <w:sz w:val="18"/>
          <w:szCs w:val="18"/>
        </w:rPr>
      </w:pPr>
    </w:p>
    <w:p w14:paraId="55526902" w14:textId="77777777" w:rsidR="009E2466" w:rsidRDefault="009E2466" w:rsidP="00C64944">
      <w:pPr>
        <w:pStyle w:val="EndNoteBibliography"/>
        <w:numPr>
          <w:ilvl w:val="0"/>
          <w:numId w:val="0"/>
        </w:numPr>
        <w:rPr>
          <w:rFonts w:ascii="Arial" w:hAnsi="Arial" w:cs="Arial"/>
          <w:sz w:val="18"/>
          <w:szCs w:val="18"/>
        </w:rPr>
      </w:pPr>
    </w:p>
    <w:p w14:paraId="559343EC" w14:textId="77777777" w:rsidR="009E2466" w:rsidRDefault="009E2466" w:rsidP="00C64944">
      <w:pPr>
        <w:pStyle w:val="EndNoteBibliography"/>
        <w:numPr>
          <w:ilvl w:val="0"/>
          <w:numId w:val="0"/>
        </w:numPr>
        <w:rPr>
          <w:rFonts w:ascii="Arial" w:hAnsi="Arial" w:cs="Arial"/>
          <w:sz w:val="18"/>
          <w:szCs w:val="18"/>
        </w:rPr>
      </w:pPr>
    </w:p>
    <w:p w14:paraId="0B65BDE1" w14:textId="1706BDCA" w:rsidR="009E2466" w:rsidRDefault="009E2466" w:rsidP="00C64944">
      <w:pPr>
        <w:pStyle w:val="EndNoteBibliography"/>
        <w:numPr>
          <w:ilvl w:val="0"/>
          <w:numId w:val="0"/>
        </w:numPr>
        <w:rPr>
          <w:rFonts w:ascii="Arial" w:hAnsi="Arial" w:cs="Arial"/>
          <w:sz w:val="18"/>
          <w:szCs w:val="18"/>
        </w:rPr>
      </w:pPr>
    </w:p>
    <w:p w14:paraId="78ABA9A6" w14:textId="26D51364" w:rsidR="009E2466" w:rsidRDefault="009E2466" w:rsidP="00C64944">
      <w:pPr>
        <w:pStyle w:val="EndNoteBibliography"/>
        <w:numPr>
          <w:ilvl w:val="0"/>
          <w:numId w:val="0"/>
        </w:numPr>
        <w:rPr>
          <w:rFonts w:ascii="Arial" w:hAnsi="Arial" w:cs="Arial"/>
          <w:sz w:val="18"/>
          <w:szCs w:val="18"/>
        </w:rPr>
      </w:pPr>
      <w:r>
        <w:rPr>
          <w:rFonts w:ascii="Arial" w:hAnsi="Arial" w:cs="Arial"/>
          <w:noProof/>
          <w:sz w:val="18"/>
          <w:szCs w:val="18"/>
        </w:rPr>
        <w:drawing>
          <wp:inline distT="0" distB="0" distL="0" distR="0" wp14:anchorId="575599CD" wp14:editId="1CCB27D3">
            <wp:extent cx="2176543" cy="16071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64.JPG"/>
                    <pic:cNvPicPr/>
                  </pic:nvPicPr>
                  <pic:blipFill rotWithShape="1">
                    <a:blip r:embed="rId7">
                      <a:extLst>
                        <a:ext uri="{28A0092B-C50C-407E-A947-70E740481C1C}">
                          <a14:useLocalDpi xmlns:a14="http://schemas.microsoft.com/office/drawing/2010/main" val="0"/>
                        </a:ext>
                      </a:extLst>
                    </a:blip>
                    <a:srcRect l="10573" t="-666" r="-8975"/>
                    <a:stretch/>
                  </pic:blipFill>
                  <pic:spPr bwMode="auto">
                    <a:xfrm>
                      <a:off x="0" y="0"/>
                      <a:ext cx="2176543" cy="1607185"/>
                    </a:xfrm>
                    <a:prstGeom prst="rect">
                      <a:avLst/>
                    </a:prstGeom>
                    <a:ln>
                      <a:noFill/>
                    </a:ln>
                    <a:extLst>
                      <a:ext uri="{53640926-AAD7-44d8-BBD7-CCE9431645EC}">
                        <a14:shadowObscured xmlns:a14="http://schemas.microsoft.com/office/drawing/2010/main"/>
                      </a:ext>
                    </a:extLst>
                  </pic:spPr>
                </pic:pic>
              </a:graphicData>
            </a:graphic>
          </wp:inline>
        </w:drawing>
      </w:r>
    </w:p>
    <w:p w14:paraId="56274B59" w14:textId="77777777" w:rsidR="00F43C4A" w:rsidRDefault="00F43C4A" w:rsidP="00C64944">
      <w:pPr>
        <w:pStyle w:val="EndNoteBibliography"/>
        <w:numPr>
          <w:ilvl w:val="0"/>
          <w:numId w:val="0"/>
        </w:numPr>
        <w:rPr>
          <w:rFonts w:ascii="Arial" w:hAnsi="Arial" w:cs="Arial"/>
          <w:sz w:val="18"/>
          <w:szCs w:val="18"/>
        </w:rPr>
      </w:pPr>
    </w:p>
    <w:p w14:paraId="3C827B63" w14:textId="77777777" w:rsidR="00F43C4A" w:rsidRDefault="00F43C4A" w:rsidP="00C64944">
      <w:pPr>
        <w:pStyle w:val="EndNoteBibliography"/>
        <w:numPr>
          <w:ilvl w:val="0"/>
          <w:numId w:val="0"/>
        </w:numPr>
        <w:rPr>
          <w:rFonts w:ascii="Arial" w:hAnsi="Arial" w:cs="Arial"/>
          <w:sz w:val="18"/>
          <w:szCs w:val="18"/>
        </w:rPr>
      </w:pPr>
    </w:p>
    <w:p w14:paraId="28DDE409" w14:textId="3659B157" w:rsidR="00C34307" w:rsidRPr="00C64944" w:rsidRDefault="00C34307" w:rsidP="00C64944">
      <w:pPr>
        <w:pStyle w:val="EndNoteBibliography"/>
        <w:numPr>
          <w:ilvl w:val="0"/>
          <w:numId w:val="0"/>
        </w:numPr>
        <w:rPr>
          <w:rFonts w:ascii="Arial" w:hAnsi="Arial" w:cs="Arial"/>
          <w:sz w:val="18"/>
          <w:szCs w:val="18"/>
        </w:rPr>
      </w:pPr>
      <w:r w:rsidRPr="00F43C4A">
        <w:rPr>
          <w:rFonts w:ascii="Times New Roman" w:hAnsi="Times New Roman" w:cs="Times New Roman"/>
          <w:sz w:val="18"/>
          <w:szCs w:val="18"/>
        </w:rPr>
        <w:t>Amarah Batool is a third year PhD candidate at University of Tasmania, Australia. Currently she is working on projects related to drought stress tolerance in Barley. Her main objective is to screen barley genotypes on large scale and to determine physiological mechanisms conferring drought stress tolerance in Barley. She holds a Masters degree in Plant Breeding and Genetics from University of Sargodha, Pakistan and BSc (</w:t>
      </w:r>
      <w:proofErr w:type="spellStart"/>
      <w:r w:rsidRPr="00F43C4A">
        <w:rPr>
          <w:rFonts w:ascii="Times New Roman" w:hAnsi="Times New Roman" w:cs="Times New Roman"/>
          <w:sz w:val="18"/>
          <w:szCs w:val="18"/>
        </w:rPr>
        <w:t>Hons</w:t>
      </w:r>
      <w:proofErr w:type="spellEnd"/>
      <w:r w:rsidRPr="00F43C4A">
        <w:rPr>
          <w:rFonts w:ascii="Times New Roman" w:hAnsi="Times New Roman" w:cs="Times New Roman"/>
          <w:sz w:val="18"/>
          <w:szCs w:val="18"/>
        </w:rPr>
        <w:t>) from University of Agriculture, Faisalabad, Pakistan</w:t>
      </w:r>
      <w:r>
        <w:rPr>
          <w:rFonts w:ascii="Arial" w:hAnsi="Arial" w:cs="Arial"/>
          <w:sz w:val="18"/>
          <w:szCs w:val="18"/>
        </w:rPr>
        <w:t>.</w:t>
      </w:r>
    </w:p>
    <w:sectPr w:rsidR="00C34307" w:rsidRPr="00C64944" w:rsidSect="009E2466">
      <w:type w:val="continuous"/>
      <w:pgSz w:w="11900" w:h="16840"/>
      <w:pgMar w:top="1440" w:right="1800" w:bottom="1440" w:left="180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5E737D"/>
    <w:multiLevelType w:val="hybridMultilevel"/>
    <w:tmpl w:val="F93C0704"/>
    <w:lvl w:ilvl="0" w:tplc="806417D2">
      <w:start w:val="1"/>
      <w:numFmt w:val="decimal"/>
      <w:pStyle w:val="EndNoteBibliography"/>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64944"/>
    <w:rsid w:val="000647FD"/>
    <w:rsid w:val="0025102B"/>
    <w:rsid w:val="002D2E4C"/>
    <w:rsid w:val="004B04DB"/>
    <w:rsid w:val="007473B7"/>
    <w:rsid w:val="008510EA"/>
    <w:rsid w:val="008B697B"/>
    <w:rsid w:val="009820E5"/>
    <w:rsid w:val="009E2466"/>
    <w:rsid w:val="00AA6DFE"/>
    <w:rsid w:val="00C34307"/>
    <w:rsid w:val="00C64944"/>
    <w:rsid w:val="00EF3DC8"/>
    <w:rsid w:val="00F43C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8394B6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944"/>
    <w:rPr>
      <w:color w:val="0000FF" w:themeColor="hyperlink"/>
      <w:u w:val="single"/>
    </w:rPr>
  </w:style>
  <w:style w:type="paragraph" w:styleId="ListParagraph">
    <w:name w:val="List Paragraph"/>
    <w:basedOn w:val="Normal"/>
    <w:uiPriority w:val="34"/>
    <w:qFormat/>
    <w:rsid w:val="00C64944"/>
    <w:pPr>
      <w:ind w:left="720"/>
      <w:contextualSpacing/>
    </w:pPr>
  </w:style>
  <w:style w:type="paragraph" w:customStyle="1" w:styleId="EndNoteBibliographyTitle">
    <w:name w:val="EndNote Bibliography Title"/>
    <w:basedOn w:val="Normal"/>
    <w:rsid w:val="00C64944"/>
    <w:pPr>
      <w:jc w:val="center"/>
    </w:pPr>
    <w:rPr>
      <w:rFonts w:ascii="Cambria" w:hAnsi="Cambria"/>
    </w:rPr>
  </w:style>
  <w:style w:type="paragraph" w:customStyle="1" w:styleId="EndNoteBibliography">
    <w:name w:val="EndNote Bibliography"/>
    <w:basedOn w:val="Normal"/>
    <w:rsid w:val="00C64944"/>
    <w:pPr>
      <w:numPr>
        <w:numId w:val="1"/>
      </w:numPr>
      <w:ind w:left="0" w:firstLine="0"/>
      <w:jc w:val="both"/>
    </w:pPr>
    <w:rPr>
      <w:rFonts w:ascii="Cambria" w:hAnsi="Cambria"/>
    </w:rPr>
  </w:style>
  <w:style w:type="paragraph" w:styleId="BalloonText">
    <w:name w:val="Balloon Text"/>
    <w:basedOn w:val="Normal"/>
    <w:link w:val="BalloonTextChar"/>
    <w:uiPriority w:val="99"/>
    <w:semiHidden/>
    <w:unhideWhenUsed/>
    <w:rsid w:val="009E24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246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9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944"/>
    <w:rPr>
      <w:color w:val="0000FF" w:themeColor="hyperlink"/>
      <w:u w:val="single"/>
    </w:rPr>
  </w:style>
  <w:style w:type="paragraph" w:styleId="ListParagraph">
    <w:name w:val="List Paragraph"/>
    <w:basedOn w:val="Normal"/>
    <w:uiPriority w:val="34"/>
    <w:qFormat/>
    <w:rsid w:val="00C64944"/>
    <w:pPr>
      <w:ind w:left="720"/>
      <w:contextualSpacing/>
    </w:pPr>
  </w:style>
  <w:style w:type="paragraph" w:customStyle="1" w:styleId="EndNoteBibliographyTitle">
    <w:name w:val="EndNote Bibliography Title"/>
    <w:basedOn w:val="Normal"/>
    <w:rsid w:val="00C64944"/>
    <w:pPr>
      <w:jc w:val="center"/>
    </w:pPr>
    <w:rPr>
      <w:rFonts w:ascii="Cambria" w:hAnsi="Cambria"/>
    </w:rPr>
  </w:style>
  <w:style w:type="paragraph" w:customStyle="1" w:styleId="EndNoteBibliography">
    <w:name w:val="EndNote Bibliography"/>
    <w:basedOn w:val="Normal"/>
    <w:rsid w:val="00C64944"/>
    <w:pPr>
      <w:numPr>
        <w:numId w:val="1"/>
      </w:numPr>
      <w:ind w:left="0" w:firstLine="0"/>
      <w:jc w:val="both"/>
    </w:pPr>
    <w:rPr>
      <w:rFonts w:ascii="Cambria" w:hAnsi="Cambria"/>
    </w:rPr>
  </w:style>
  <w:style w:type="paragraph" w:styleId="BalloonText">
    <w:name w:val="Balloon Text"/>
    <w:basedOn w:val="Normal"/>
    <w:link w:val="BalloonTextChar"/>
    <w:uiPriority w:val="99"/>
    <w:semiHidden/>
    <w:unhideWhenUsed/>
    <w:rsid w:val="009E246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E246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Amarah.Batool@utas.edu.au" TargetMode="External"/><Relationship Id="rId7" Type="http://schemas.openxmlformats.org/officeDocument/2006/relationships/image" Target="media/image1.JP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554</Words>
  <Characters>3158</Characters>
  <Application>Microsoft Macintosh Word</Application>
  <DocSecurity>0</DocSecurity>
  <Lines>26</Lines>
  <Paragraphs>7</Paragraphs>
  <ScaleCrop>false</ScaleCrop>
  <Company/>
  <LinksUpToDate>false</LinksUpToDate>
  <CharactersWithSpaces>3705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Amarah Batool</dc:creator>
  <cp:keywords/>
  <dc:description/>
  <cp:lastModifiedBy>Amarah Batool</cp:lastModifiedBy>
  <cp:revision>6</cp:revision>
  <dcterms:created xsi:type="dcterms:W3CDTF">2017-06-30T08:53:00Z</dcterms:created>
  <dcterms:modified xsi:type="dcterms:W3CDTF">2017-07-03T03:29:00Z</dcterms:modified>
</cp:coreProperties>
</file>