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D93C4" w14:textId="77777777" w:rsidR="00A8203D" w:rsidRPr="008738D2" w:rsidRDefault="00A8203D" w:rsidP="00A8203D">
      <w:pPr>
        <w:rPr>
          <w:rFonts w:ascii="Times New Roman" w:hAnsi="Times New Roman" w:cs="Times New Roman"/>
          <w:b/>
          <w:sz w:val="22"/>
          <w:szCs w:val="22"/>
        </w:rPr>
      </w:pPr>
      <w:r w:rsidRPr="008738D2">
        <w:rPr>
          <w:rFonts w:ascii="Times New Roman" w:hAnsi="Times New Roman" w:cs="Times New Roman"/>
          <w:b/>
          <w:sz w:val="22"/>
          <w:szCs w:val="22"/>
        </w:rPr>
        <w:t>Developing screening techniques and understanding differences in physiological mechanisms conferring drought tolerance in cultivated (</w:t>
      </w:r>
      <w:proofErr w:type="spellStart"/>
      <w:r w:rsidRPr="008738D2">
        <w:rPr>
          <w:rFonts w:ascii="Times New Roman" w:hAnsi="Times New Roman" w:cs="Times New Roman"/>
          <w:b/>
          <w:i/>
          <w:sz w:val="22"/>
          <w:szCs w:val="22"/>
        </w:rPr>
        <w:t>Hordeum</w:t>
      </w:r>
      <w:proofErr w:type="spellEnd"/>
      <w:r w:rsidRPr="008738D2">
        <w:rPr>
          <w:rFonts w:ascii="Times New Roman" w:hAnsi="Times New Roman" w:cs="Times New Roman"/>
          <w:b/>
          <w:i/>
          <w:sz w:val="22"/>
          <w:szCs w:val="22"/>
        </w:rPr>
        <w:t xml:space="preserve"> </w:t>
      </w:r>
      <w:proofErr w:type="spellStart"/>
      <w:r w:rsidRPr="008738D2">
        <w:rPr>
          <w:rFonts w:ascii="Times New Roman" w:hAnsi="Times New Roman" w:cs="Times New Roman"/>
          <w:b/>
          <w:i/>
          <w:sz w:val="22"/>
          <w:szCs w:val="22"/>
        </w:rPr>
        <w:t>vulgare</w:t>
      </w:r>
      <w:proofErr w:type="spellEnd"/>
      <w:r w:rsidRPr="008738D2">
        <w:rPr>
          <w:rFonts w:ascii="Times New Roman" w:hAnsi="Times New Roman" w:cs="Times New Roman"/>
          <w:b/>
          <w:sz w:val="22"/>
          <w:szCs w:val="22"/>
        </w:rPr>
        <w:t xml:space="preserve"> L.)  </w:t>
      </w:r>
      <w:proofErr w:type="gramStart"/>
      <w:r w:rsidRPr="008738D2">
        <w:rPr>
          <w:rFonts w:ascii="Times New Roman" w:hAnsi="Times New Roman" w:cs="Times New Roman"/>
          <w:b/>
          <w:sz w:val="22"/>
          <w:szCs w:val="22"/>
        </w:rPr>
        <w:t>and</w:t>
      </w:r>
      <w:proofErr w:type="gramEnd"/>
      <w:r w:rsidRPr="008738D2">
        <w:rPr>
          <w:rFonts w:ascii="Times New Roman" w:hAnsi="Times New Roman" w:cs="Times New Roman"/>
          <w:b/>
          <w:sz w:val="22"/>
          <w:szCs w:val="22"/>
        </w:rPr>
        <w:t xml:space="preserve"> wild (</w:t>
      </w:r>
      <w:r w:rsidRPr="008738D2">
        <w:rPr>
          <w:rFonts w:ascii="Times New Roman" w:hAnsi="Times New Roman" w:cs="Times New Roman"/>
          <w:b/>
          <w:i/>
          <w:iCs/>
          <w:sz w:val="22"/>
          <w:szCs w:val="22"/>
        </w:rPr>
        <w:t xml:space="preserve">H. </w:t>
      </w:r>
      <w:proofErr w:type="spellStart"/>
      <w:r w:rsidRPr="008738D2">
        <w:rPr>
          <w:rFonts w:ascii="Times New Roman" w:hAnsi="Times New Roman" w:cs="Times New Roman"/>
          <w:b/>
          <w:i/>
          <w:iCs/>
          <w:sz w:val="22"/>
          <w:szCs w:val="22"/>
        </w:rPr>
        <w:t>spontaneum</w:t>
      </w:r>
      <w:proofErr w:type="spellEnd"/>
      <w:r w:rsidRPr="008738D2">
        <w:rPr>
          <w:rFonts w:ascii="Times New Roman" w:hAnsi="Times New Roman" w:cs="Times New Roman"/>
          <w:b/>
          <w:sz w:val="22"/>
          <w:szCs w:val="22"/>
        </w:rPr>
        <w:t xml:space="preserve">) barley genotypes </w:t>
      </w:r>
    </w:p>
    <w:p w14:paraId="046ABCD2" w14:textId="77777777" w:rsidR="00A8203D" w:rsidRDefault="00A8203D" w:rsidP="00A8203D">
      <w:pPr>
        <w:rPr>
          <w:rFonts w:ascii="Arial" w:hAnsi="Arial" w:cs="Arial"/>
        </w:rPr>
        <w:sectPr w:rsidR="00A8203D" w:rsidSect="00A8203D">
          <w:pgSz w:w="11900" w:h="16840"/>
          <w:pgMar w:top="1440" w:right="1800" w:bottom="1440" w:left="1800" w:header="708" w:footer="708" w:gutter="0"/>
          <w:cols w:space="708"/>
          <w:docGrid w:linePitch="360"/>
        </w:sectPr>
      </w:pPr>
    </w:p>
    <w:p w14:paraId="0DDA6603" w14:textId="77777777" w:rsidR="00A8203D" w:rsidRPr="0039088D" w:rsidRDefault="00A8203D" w:rsidP="00A8203D">
      <w:pPr>
        <w:rPr>
          <w:rFonts w:ascii="Arial" w:hAnsi="Arial" w:cs="Arial"/>
        </w:rPr>
      </w:pPr>
    </w:p>
    <w:p w14:paraId="0E882A87" w14:textId="77777777" w:rsidR="00A8203D" w:rsidRDefault="00A8203D" w:rsidP="00A8203D">
      <w:pPr>
        <w:rPr>
          <w:rFonts w:ascii="Arial" w:hAnsi="Arial" w:cs="Arial"/>
        </w:rPr>
        <w:sectPr w:rsidR="00A8203D" w:rsidSect="00A8203D">
          <w:type w:val="continuous"/>
          <w:pgSz w:w="11900" w:h="16840"/>
          <w:pgMar w:top="1440" w:right="1800" w:bottom="1440" w:left="1800" w:header="708" w:footer="708" w:gutter="0"/>
          <w:cols w:num="2" w:space="708"/>
          <w:docGrid w:linePitch="360"/>
        </w:sectPr>
      </w:pPr>
    </w:p>
    <w:p w14:paraId="18D441AE" w14:textId="77777777" w:rsidR="00A8203D" w:rsidRPr="00A8203D" w:rsidRDefault="00A8203D" w:rsidP="00A8203D">
      <w:pPr>
        <w:rPr>
          <w:rFonts w:ascii="Arial" w:hAnsi="Arial" w:cs="Arial"/>
          <w:sz w:val="18"/>
          <w:szCs w:val="18"/>
        </w:rPr>
      </w:pPr>
      <w:r w:rsidRPr="00A8203D">
        <w:rPr>
          <w:rFonts w:ascii="Arial" w:hAnsi="Arial" w:cs="Arial"/>
          <w:sz w:val="18"/>
          <w:szCs w:val="18"/>
        </w:rPr>
        <w:lastRenderedPageBreak/>
        <w:t xml:space="preserve">Amarah Batool, Sergey </w:t>
      </w:r>
      <w:proofErr w:type="spellStart"/>
      <w:r w:rsidRPr="00A8203D">
        <w:rPr>
          <w:rFonts w:ascii="Arial" w:hAnsi="Arial" w:cs="Arial"/>
          <w:sz w:val="18"/>
          <w:szCs w:val="18"/>
        </w:rPr>
        <w:t>Shabala</w:t>
      </w:r>
      <w:proofErr w:type="spellEnd"/>
      <w:r w:rsidRPr="00A8203D">
        <w:rPr>
          <w:rFonts w:ascii="Arial" w:hAnsi="Arial" w:cs="Arial"/>
          <w:sz w:val="18"/>
          <w:szCs w:val="18"/>
        </w:rPr>
        <w:t xml:space="preserve">, </w:t>
      </w:r>
      <w:proofErr w:type="spellStart"/>
      <w:r w:rsidRPr="00A8203D">
        <w:rPr>
          <w:rFonts w:ascii="Arial" w:hAnsi="Arial" w:cs="Arial"/>
          <w:sz w:val="18"/>
          <w:szCs w:val="18"/>
        </w:rPr>
        <w:t>Meixue</w:t>
      </w:r>
      <w:proofErr w:type="spellEnd"/>
      <w:r w:rsidRPr="00A8203D">
        <w:rPr>
          <w:rFonts w:ascii="Arial" w:hAnsi="Arial" w:cs="Arial"/>
          <w:sz w:val="18"/>
          <w:szCs w:val="18"/>
        </w:rPr>
        <w:t xml:space="preserve"> Zhou</w:t>
      </w:r>
    </w:p>
    <w:p w14:paraId="21E87260" w14:textId="77777777" w:rsidR="00A8203D" w:rsidRPr="00A8203D" w:rsidRDefault="00A8203D" w:rsidP="00A8203D">
      <w:pPr>
        <w:rPr>
          <w:rFonts w:ascii="Arial" w:hAnsi="Arial" w:cs="Arial"/>
          <w:sz w:val="18"/>
          <w:szCs w:val="18"/>
        </w:rPr>
      </w:pPr>
      <w:r w:rsidRPr="00A8203D">
        <w:rPr>
          <w:rFonts w:ascii="Arial" w:hAnsi="Arial" w:cs="Arial"/>
          <w:sz w:val="18"/>
          <w:szCs w:val="18"/>
        </w:rPr>
        <w:t>School of Land and Food, University of Tasmania, Australia</w:t>
      </w:r>
    </w:p>
    <w:p w14:paraId="6D788F42" w14:textId="77777777" w:rsidR="008738D2" w:rsidRDefault="008738D2" w:rsidP="00A8203D">
      <w:pPr>
        <w:rPr>
          <w:rFonts w:ascii="Arial" w:hAnsi="Arial" w:cs="Arial"/>
          <w:b/>
        </w:rPr>
        <w:sectPr w:rsidR="008738D2" w:rsidSect="00A8203D">
          <w:type w:val="continuous"/>
          <w:pgSz w:w="11900" w:h="16840"/>
          <w:pgMar w:top="1440" w:right="1800" w:bottom="1440" w:left="1800" w:header="708" w:footer="708" w:gutter="0"/>
          <w:cols w:space="708"/>
          <w:docGrid w:linePitch="360"/>
        </w:sectPr>
      </w:pPr>
    </w:p>
    <w:p w14:paraId="451CD4A2" w14:textId="77777777" w:rsidR="00A8203D" w:rsidRPr="0039088D" w:rsidRDefault="00A8203D" w:rsidP="00A8203D">
      <w:pPr>
        <w:rPr>
          <w:rFonts w:ascii="Arial" w:hAnsi="Arial" w:cs="Arial"/>
          <w:b/>
        </w:rPr>
      </w:pPr>
    </w:p>
    <w:p w14:paraId="7E1615DA" w14:textId="77777777" w:rsidR="00A8203D" w:rsidRPr="0039088D" w:rsidRDefault="00A8203D" w:rsidP="00A8203D">
      <w:pPr>
        <w:rPr>
          <w:rFonts w:ascii="Arial" w:hAnsi="Arial" w:cs="Arial"/>
          <w:b/>
        </w:rPr>
      </w:pPr>
      <w:r w:rsidRPr="0039088D">
        <w:rPr>
          <w:rFonts w:ascii="Arial" w:hAnsi="Arial" w:cs="Arial"/>
          <w:b/>
        </w:rPr>
        <w:t>Abstract:</w:t>
      </w:r>
    </w:p>
    <w:p w14:paraId="30514595" w14:textId="77777777" w:rsidR="00A8203D" w:rsidRPr="008738D2" w:rsidRDefault="00A8203D" w:rsidP="00A8203D">
      <w:pPr>
        <w:spacing w:line="360" w:lineRule="auto"/>
        <w:jc w:val="both"/>
        <w:rPr>
          <w:rFonts w:ascii="Times New Roman" w:hAnsi="Times New Roman" w:cs="Times New Roman"/>
          <w:b/>
          <w:sz w:val="18"/>
          <w:szCs w:val="18"/>
        </w:rPr>
      </w:pPr>
      <w:r w:rsidRPr="008738D2">
        <w:rPr>
          <w:rFonts w:ascii="Times New Roman" w:hAnsi="Times New Roman" w:cs="Times New Roman"/>
          <w:sz w:val="18"/>
          <w:szCs w:val="18"/>
        </w:rPr>
        <w:t xml:space="preserve">Drought is a major abiotic stress affecting crop </w:t>
      </w:r>
      <w:r w:rsidR="008738D2" w:rsidRPr="008738D2">
        <w:rPr>
          <w:rFonts w:ascii="Times New Roman" w:hAnsi="Times New Roman" w:cs="Times New Roman"/>
          <w:sz w:val="18"/>
          <w:szCs w:val="18"/>
        </w:rPr>
        <w:t xml:space="preserve">   </w:t>
      </w:r>
      <w:r w:rsidRPr="008738D2">
        <w:rPr>
          <w:rFonts w:ascii="Times New Roman" w:hAnsi="Times New Roman" w:cs="Times New Roman"/>
          <w:sz w:val="18"/>
          <w:szCs w:val="18"/>
        </w:rPr>
        <w:t xml:space="preserve">production and food security worldwide. </w:t>
      </w:r>
      <w:r w:rsidRPr="008738D2">
        <w:rPr>
          <w:rFonts w:ascii="Times New Roman" w:eastAsia="Times New Roman" w:hAnsi="Times New Roman" w:cs="Times New Roman"/>
          <w:color w:val="000000"/>
          <w:sz w:val="18"/>
          <w:szCs w:val="18"/>
          <w:shd w:val="clear" w:color="auto" w:fill="FFFFFF"/>
        </w:rPr>
        <w:t>Developing efficient screening techniques and quantifiable traits would expedite the process of crop improvement for drought stress tolerance</w:t>
      </w:r>
      <w:r w:rsidRPr="008738D2">
        <w:rPr>
          <w:rFonts w:ascii="Times New Roman" w:eastAsia="Times New Roman" w:hAnsi="Times New Roman" w:cs="Times New Roman"/>
          <w:sz w:val="18"/>
          <w:szCs w:val="18"/>
        </w:rPr>
        <w:t xml:space="preserve">. </w:t>
      </w:r>
      <w:r w:rsidRPr="008738D2">
        <w:rPr>
          <w:rFonts w:ascii="Times New Roman" w:hAnsi="Times New Roman" w:cs="Times New Roman"/>
          <w:sz w:val="18"/>
          <w:szCs w:val="18"/>
        </w:rPr>
        <w:t xml:space="preserve">In this work, physiological and agronomical responses of 20 wild and 10 cultivated barley genotypes were </w:t>
      </w:r>
      <w:proofErr w:type="gramStart"/>
      <w:r w:rsidRPr="008738D2">
        <w:rPr>
          <w:rFonts w:ascii="Times New Roman" w:hAnsi="Times New Roman" w:cs="Times New Roman"/>
          <w:sz w:val="18"/>
          <w:szCs w:val="18"/>
        </w:rPr>
        <w:t>compare</w:t>
      </w:r>
      <w:proofErr w:type="gramEnd"/>
      <w:r w:rsidRPr="008738D2">
        <w:rPr>
          <w:rFonts w:ascii="Times New Roman" w:hAnsi="Times New Roman" w:cs="Times New Roman"/>
          <w:sz w:val="18"/>
          <w:szCs w:val="18"/>
        </w:rPr>
        <w:t xml:space="preserve"> in glasshouse trails, in two separate experiments. In the first study, plant watering was withdrawn and drought tolerance was estimated as the time at which plants started to wilt and eventually die. Genotypes were classified into four clusters (i.e. tolerant, moderate tolerant, moderate sensitive and sensitive) based on visual damage score (1 = no symptoms; 10 = dead plants) after 3, 5 and 7 weeks of water withdrawal. In the second experiment, plants were watered at three different regimes: control (100% field capacity) and two deficient irrigations (25% and 12% field capacity, respectively). Agronomical (fresh and dry weigh; relative water content) and physiological (</w:t>
      </w:r>
      <w:proofErr w:type="spellStart"/>
      <w:r w:rsidRPr="008738D2">
        <w:rPr>
          <w:rFonts w:ascii="Times New Roman" w:hAnsi="Times New Roman" w:cs="Times New Roman"/>
          <w:sz w:val="18"/>
          <w:szCs w:val="18"/>
        </w:rPr>
        <w:t>stomatal</w:t>
      </w:r>
      <w:proofErr w:type="spellEnd"/>
      <w:r w:rsidRPr="008738D2">
        <w:rPr>
          <w:rFonts w:ascii="Times New Roman" w:hAnsi="Times New Roman" w:cs="Times New Roman"/>
          <w:sz w:val="18"/>
          <w:szCs w:val="18"/>
        </w:rPr>
        <w:t xml:space="preserve"> conductance; chlorophyll content; PSII maximum photochemical efficiency) were measured and compared. The differences in the strategies by which wild and cultivated barley genotypes respond to water stress were then </w:t>
      </w:r>
      <w:proofErr w:type="spellStart"/>
      <w:r w:rsidRPr="008738D2">
        <w:rPr>
          <w:rFonts w:ascii="Times New Roman" w:hAnsi="Times New Roman" w:cs="Times New Roman"/>
          <w:sz w:val="18"/>
          <w:szCs w:val="18"/>
        </w:rPr>
        <w:t>analysed</w:t>
      </w:r>
      <w:proofErr w:type="spellEnd"/>
      <w:r w:rsidRPr="008738D2">
        <w:rPr>
          <w:rFonts w:ascii="Times New Roman" w:hAnsi="Times New Roman" w:cs="Times New Roman"/>
          <w:sz w:val="18"/>
          <w:szCs w:val="18"/>
        </w:rPr>
        <w:t xml:space="preserve"> based on this data. </w:t>
      </w:r>
      <w:proofErr w:type="gramStart"/>
      <w:r w:rsidRPr="008738D2">
        <w:rPr>
          <w:rFonts w:ascii="Times New Roman" w:hAnsi="Times New Roman" w:cs="Times New Roman"/>
          <w:sz w:val="18"/>
          <w:szCs w:val="18"/>
        </w:rPr>
        <w:t>A range of drought tolerant barley cultivars have</w:t>
      </w:r>
      <w:proofErr w:type="gramEnd"/>
      <w:r w:rsidRPr="008738D2">
        <w:rPr>
          <w:rFonts w:ascii="Times New Roman" w:hAnsi="Times New Roman" w:cs="Times New Roman"/>
          <w:sz w:val="18"/>
          <w:szCs w:val="18"/>
        </w:rPr>
        <w:t xml:space="preserve"> been selected and could be recommended to growers, and contrasting parental lines for creating mapping double haploid population for marker-assistant breeding have been identified</w:t>
      </w:r>
    </w:p>
    <w:p w14:paraId="38E7227F" w14:textId="77777777" w:rsidR="008738D2" w:rsidRPr="008738D2" w:rsidRDefault="008738D2" w:rsidP="008738D2">
      <w:pPr>
        <w:spacing w:line="360" w:lineRule="auto"/>
        <w:jc w:val="both"/>
        <w:rPr>
          <w:rFonts w:ascii="Times New Roman" w:hAnsi="Times New Roman" w:cs="Times New Roman"/>
          <w:sz w:val="18"/>
          <w:szCs w:val="18"/>
        </w:rPr>
      </w:pPr>
    </w:p>
    <w:p w14:paraId="162332EA" w14:textId="77777777" w:rsidR="008738D2" w:rsidRPr="008738D2" w:rsidRDefault="008738D2" w:rsidP="008738D2">
      <w:pPr>
        <w:spacing w:line="360" w:lineRule="auto"/>
        <w:jc w:val="both"/>
        <w:rPr>
          <w:rFonts w:ascii="Times New Roman" w:hAnsi="Times New Roman" w:cs="Times New Roman"/>
          <w:sz w:val="18"/>
          <w:szCs w:val="18"/>
        </w:rPr>
      </w:pPr>
    </w:p>
    <w:p w14:paraId="5F64E724" w14:textId="77777777" w:rsidR="008738D2" w:rsidRPr="008738D2" w:rsidRDefault="008738D2" w:rsidP="008738D2">
      <w:pPr>
        <w:spacing w:line="360" w:lineRule="auto"/>
        <w:jc w:val="both"/>
        <w:rPr>
          <w:rFonts w:ascii="Times New Roman" w:hAnsi="Times New Roman" w:cs="Times New Roman"/>
          <w:sz w:val="18"/>
          <w:szCs w:val="18"/>
        </w:rPr>
      </w:pPr>
    </w:p>
    <w:p w14:paraId="3D042965" w14:textId="77777777" w:rsidR="008738D2" w:rsidRPr="008738D2" w:rsidRDefault="008738D2" w:rsidP="008738D2">
      <w:pPr>
        <w:spacing w:line="360" w:lineRule="auto"/>
        <w:jc w:val="both"/>
        <w:rPr>
          <w:rFonts w:ascii="Times New Roman" w:hAnsi="Times New Roman" w:cs="Times New Roman"/>
          <w:sz w:val="18"/>
          <w:szCs w:val="18"/>
        </w:rPr>
      </w:pPr>
    </w:p>
    <w:p w14:paraId="63B4CEF2" w14:textId="77777777" w:rsidR="008738D2" w:rsidRPr="008738D2" w:rsidRDefault="008738D2" w:rsidP="008738D2">
      <w:pPr>
        <w:spacing w:line="360" w:lineRule="auto"/>
        <w:jc w:val="both"/>
        <w:rPr>
          <w:rFonts w:ascii="Times New Roman" w:hAnsi="Times New Roman" w:cs="Times New Roman"/>
          <w:sz w:val="18"/>
          <w:szCs w:val="18"/>
        </w:rPr>
      </w:pPr>
    </w:p>
    <w:p w14:paraId="2A741027" w14:textId="77777777" w:rsidR="008738D2" w:rsidRPr="008738D2" w:rsidRDefault="008738D2" w:rsidP="008738D2">
      <w:pPr>
        <w:spacing w:line="360" w:lineRule="auto"/>
        <w:jc w:val="both"/>
        <w:rPr>
          <w:rFonts w:ascii="Times New Roman" w:hAnsi="Times New Roman" w:cs="Times New Roman"/>
          <w:sz w:val="18"/>
          <w:szCs w:val="18"/>
        </w:rPr>
      </w:pPr>
    </w:p>
    <w:p w14:paraId="419C73C5" w14:textId="77777777" w:rsidR="008738D2" w:rsidRPr="008738D2" w:rsidRDefault="008738D2" w:rsidP="008738D2">
      <w:pPr>
        <w:spacing w:line="360" w:lineRule="auto"/>
        <w:jc w:val="both"/>
        <w:rPr>
          <w:rFonts w:ascii="Times New Roman" w:hAnsi="Times New Roman" w:cs="Times New Roman"/>
          <w:sz w:val="18"/>
          <w:szCs w:val="18"/>
        </w:rPr>
      </w:pPr>
    </w:p>
    <w:p w14:paraId="2A1230F9" w14:textId="77777777" w:rsidR="008738D2" w:rsidRPr="008738D2" w:rsidRDefault="008738D2" w:rsidP="008738D2">
      <w:pPr>
        <w:spacing w:line="360" w:lineRule="auto"/>
        <w:jc w:val="both"/>
        <w:rPr>
          <w:rFonts w:ascii="Times New Roman" w:hAnsi="Times New Roman" w:cs="Times New Roman"/>
          <w:sz w:val="18"/>
          <w:szCs w:val="18"/>
        </w:rPr>
      </w:pPr>
    </w:p>
    <w:p w14:paraId="16ED8339" w14:textId="77777777" w:rsidR="008738D2" w:rsidRPr="008738D2" w:rsidRDefault="008738D2" w:rsidP="008738D2">
      <w:pPr>
        <w:spacing w:line="360" w:lineRule="auto"/>
        <w:jc w:val="both"/>
        <w:rPr>
          <w:rFonts w:ascii="Times New Roman" w:hAnsi="Times New Roman" w:cs="Times New Roman"/>
          <w:sz w:val="18"/>
          <w:szCs w:val="18"/>
        </w:rPr>
      </w:pPr>
    </w:p>
    <w:p w14:paraId="30CFCF1D" w14:textId="77777777" w:rsidR="008738D2" w:rsidRPr="0089275C" w:rsidRDefault="008738D2" w:rsidP="008738D2">
      <w:pPr>
        <w:spacing w:line="360" w:lineRule="auto"/>
        <w:jc w:val="both"/>
        <w:rPr>
          <w:rFonts w:ascii="Times New Roman" w:hAnsi="Times New Roman" w:cs="Times New Roman"/>
          <w:sz w:val="22"/>
          <w:szCs w:val="22"/>
        </w:rPr>
      </w:pPr>
      <w:r w:rsidRPr="0089275C">
        <w:rPr>
          <w:rFonts w:ascii="Times New Roman" w:hAnsi="Times New Roman" w:cs="Times New Roman"/>
          <w:sz w:val="22"/>
          <w:szCs w:val="22"/>
        </w:rPr>
        <w:t>Publications:</w:t>
      </w:r>
    </w:p>
    <w:p w14:paraId="2F496839" w14:textId="77777777" w:rsidR="008738D2" w:rsidRPr="008738D2" w:rsidRDefault="008738D2" w:rsidP="008738D2">
      <w:pPr>
        <w:pStyle w:val="EndNoteBibliography"/>
        <w:rPr>
          <w:rFonts w:ascii="Times New Roman" w:hAnsi="Times New Roman" w:cs="Times New Roman"/>
          <w:noProof/>
          <w:sz w:val="18"/>
          <w:szCs w:val="18"/>
        </w:rPr>
      </w:pPr>
      <w:r w:rsidRPr="008738D2">
        <w:rPr>
          <w:rFonts w:ascii="Times New Roman" w:hAnsi="Times New Roman" w:cs="Times New Roman"/>
          <w:noProof/>
          <w:sz w:val="18"/>
          <w:szCs w:val="18"/>
        </w:rPr>
        <w:t>Batool A, Noorka IR, Afzal M, Syed AH. Estimation of Heterosis, Heterobeltiosis and Potence Ratio Over Environments Among Pre and Post Green Revolution Spring wheat in Pakistan. Journal of Basic &amp; Applied Sciences. 2013;9:36.</w:t>
      </w:r>
    </w:p>
    <w:p w14:paraId="2E3020A2" w14:textId="77777777" w:rsidR="008738D2" w:rsidRPr="008738D2" w:rsidRDefault="008738D2" w:rsidP="008738D2">
      <w:pPr>
        <w:pStyle w:val="EndNoteBibliography"/>
        <w:rPr>
          <w:rFonts w:ascii="Times New Roman" w:hAnsi="Times New Roman" w:cs="Times New Roman"/>
          <w:noProof/>
          <w:sz w:val="18"/>
          <w:szCs w:val="18"/>
        </w:rPr>
      </w:pPr>
      <w:r w:rsidRPr="008738D2">
        <w:rPr>
          <w:rFonts w:ascii="Times New Roman" w:hAnsi="Times New Roman" w:cs="Times New Roman"/>
          <w:noProof/>
          <w:sz w:val="18"/>
          <w:szCs w:val="18"/>
        </w:rPr>
        <w:t>Noorka IR, Batool A, Rauf S, Teixeira da Silva J, Ashraf E. Estimation of heterosis in wheat (Triticum aestivum L.) under contrasting water regimes. International Journal of Plant Breeding. 2013;7:55-60</w:t>
      </w:r>
    </w:p>
    <w:p w14:paraId="0760BD19" w14:textId="77777777" w:rsidR="008738D2" w:rsidRPr="008738D2" w:rsidRDefault="008738D2" w:rsidP="008738D2">
      <w:pPr>
        <w:pStyle w:val="EndNoteBibliography"/>
        <w:rPr>
          <w:rFonts w:ascii="Times New Roman" w:hAnsi="Times New Roman" w:cs="Times New Roman"/>
          <w:noProof/>
          <w:sz w:val="18"/>
          <w:szCs w:val="18"/>
        </w:rPr>
      </w:pPr>
      <w:r w:rsidRPr="008738D2">
        <w:rPr>
          <w:rFonts w:ascii="Times New Roman" w:hAnsi="Times New Roman" w:cs="Times New Roman"/>
          <w:noProof/>
          <w:sz w:val="18"/>
          <w:szCs w:val="18"/>
        </w:rPr>
        <w:t>Noorka IR, Batool A, AlSultan S, Tabasum S, Ali A. Water stress tolerance, its relationship to stem reserve mobilization and potence ratio in spring wheat. American Journal of Plant Sciences. 2013a;4:231.</w:t>
      </w:r>
    </w:p>
    <w:p w14:paraId="25431E2F"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1AE9AA19" w14:textId="77777777" w:rsidR="0089275C" w:rsidRDefault="0089275C" w:rsidP="0089275C">
      <w:pPr>
        <w:pStyle w:val="EndNoteBibliography"/>
        <w:numPr>
          <w:ilvl w:val="0"/>
          <w:numId w:val="0"/>
        </w:numPr>
      </w:pPr>
      <w:proofErr w:type="spellStart"/>
      <w:r>
        <w:t>E.mail</w:t>
      </w:r>
      <w:proofErr w:type="spellEnd"/>
      <w:r>
        <w:t xml:space="preserve">: </w:t>
      </w:r>
      <w:hyperlink r:id="rId6" w:history="1">
        <w:r w:rsidRPr="009E2466">
          <w:rPr>
            <w:rStyle w:val="Hyperlink"/>
            <w:rFonts w:ascii="Times New Roman" w:hAnsi="Times New Roman" w:cs="Times New Roman"/>
            <w:sz w:val="22"/>
            <w:szCs w:val="22"/>
          </w:rPr>
          <w:t>Amarah.Batool@utas.edu.au</w:t>
        </w:r>
      </w:hyperlink>
      <w:proofErr w:type="gramStart"/>
      <w:r>
        <w:t xml:space="preserve">  Contact</w:t>
      </w:r>
      <w:proofErr w:type="gramEnd"/>
      <w:r>
        <w:t xml:space="preserve"> No: +61449723449</w:t>
      </w:r>
    </w:p>
    <w:p w14:paraId="112F3D54" w14:textId="77777777" w:rsidR="0089275C" w:rsidRDefault="0089275C" w:rsidP="0089275C">
      <w:pPr>
        <w:pStyle w:val="EndNoteBibliography"/>
        <w:numPr>
          <w:ilvl w:val="0"/>
          <w:numId w:val="0"/>
        </w:numPr>
        <w:rPr>
          <w:rFonts w:ascii="Arial" w:hAnsi="Arial" w:cs="Arial"/>
          <w:sz w:val="18"/>
          <w:szCs w:val="18"/>
        </w:rPr>
      </w:pPr>
    </w:p>
    <w:p w14:paraId="5C50747D" w14:textId="77777777" w:rsidR="008738D2" w:rsidRPr="008738D2" w:rsidRDefault="008738D2" w:rsidP="008738D2">
      <w:pPr>
        <w:pStyle w:val="EndNoteBibliography"/>
        <w:numPr>
          <w:ilvl w:val="0"/>
          <w:numId w:val="0"/>
        </w:numPr>
        <w:rPr>
          <w:rFonts w:ascii="Times New Roman" w:hAnsi="Times New Roman" w:cs="Times New Roman"/>
          <w:sz w:val="18"/>
          <w:szCs w:val="18"/>
        </w:rPr>
      </w:pPr>
      <w:bookmarkStart w:id="0" w:name="_GoBack"/>
      <w:bookmarkEnd w:id="0"/>
    </w:p>
    <w:p w14:paraId="1591C95D"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14E6A21F"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EE62E9D"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F97357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6EA2C5C"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0B48602"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885EA98"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485AA54"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16E41B94"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802C60C"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2D748690"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A5B11BC"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2C447D1"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7F03F3B0"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5A8B42D"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4150B5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766034FC"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3DD8C79"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562F192"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7FDA524A"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7593E26E"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5629869"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727DD71F"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0B2BE70"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440CA65"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4A15A4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D10807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D1C99E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D4878B4"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04B3FB3"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1D7733E"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16CFAB9"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CDB65F2"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7E2CD7A"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2F1B5FD"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0DDF5745"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4C23B9ED"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11A08AFF"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57012091"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14B42E6" w14:textId="77777777" w:rsidR="008738D2" w:rsidRPr="008738D2" w:rsidRDefault="008738D2" w:rsidP="008738D2">
      <w:pPr>
        <w:pStyle w:val="EndNoteBibliography"/>
        <w:numPr>
          <w:ilvl w:val="0"/>
          <w:numId w:val="0"/>
        </w:numPr>
        <w:rPr>
          <w:rFonts w:ascii="Times New Roman" w:hAnsi="Times New Roman" w:cs="Times New Roman"/>
          <w:sz w:val="18"/>
          <w:szCs w:val="18"/>
        </w:rPr>
      </w:pPr>
      <w:r w:rsidRPr="008738D2">
        <w:rPr>
          <w:rFonts w:ascii="Times New Roman" w:hAnsi="Times New Roman" w:cs="Times New Roman"/>
          <w:noProof/>
          <w:sz w:val="18"/>
          <w:szCs w:val="18"/>
        </w:rPr>
        <w:drawing>
          <wp:inline distT="0" distB="0" distL="0" distR="0" wp14:anchorId="0EFD66BE" wp14:editId="2A5B333C">
            <wp:extent cx="2176543" cy="1607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64.JPG"/>
                    <pic:cNvPicPr/>
                  </pic:nvPicPr>
                  <pic:blipFill rotWithShape="1">
                    <a:blip r:embed="rId7">
                      <a:extLst>
                        <a:ext uri="{28A0092B-C50C-407E-A947-70E740481C1C}">
                          <a14:useLocalDpi xmlns:a14="http://schemas.microsoft.com/office/drawing/2010/main" val="0"/>
                        </a:ext>
                      </a:extLst>
                    </a:blip>
                    <a:srcRect l="10573" t="-666" r="-8975"/>
                    <a:stretch/>
                  </pic:blipFill>
                  <pic:spPr bwMode="auto">
                    <a:xfrm>
                      <a:off x="0" y="0"/>
                      <a:ext cx="2176543" cy="1607185"/>
                    </a:xfrm>
                    <a:prstGeom prst="rect">
                      <a:avLst/>
                    </a:prstGeom>
                    <a:ln>
                      <a:noFill/>
                    </a:ln>
                    <a:extLst>
                      <a:ext uri="{53640926-AAD7-44d8-BBD7-CCE9431645EC}">
                        <a14:shadowObscured xmlns:a14="http://schemas.microsoft.com/office/drawing/2010/main"/>
                      </a:ext>
                    </a:extLst>
                  </pic:spPr>
                </pic:pic>
              </a:graphicData>
            </a:graphic>
          </wp:inline>
        </w:drawing>
      </w:r>
    </w:p>
    <w:p w14:paraId="1F5264CC"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36F1A786" w14:textId="77777777" w:rsidR="008738D2" w:rsidRPr="008738D2" w:rsidRDefault="008738D2" w:rsidP="008738D2">
      <w:pPr>
        <w:pStyle w:val="EndNoteBibliography"/>
        <w:numPr>
          <w:ilvl w:val="0"/>
          <w:numId w:val="0"/>
        </w:numPr>
        <w:rPr>
          <w:rFonts w:ascii="Times New Roman" w:hAnsi="Times New Roman" w:cs="Times New Roman"/>
          <w:sz w:val="18"/>
          <w:szCs w:val="18"/>
        </w:rPr>
      </w:pPr>
    </w:p>
    <w:p w14:paraId="6FB4891B" w14:textId="77777777" w:rsidR="008738D2" w:rsidRPr="008738D2" w:rsidRDefault="008738D2" w:rsidP="008738D2">
      <w:pPr>
        <w:pStyle w:val="EndNoteBibliography"/>
        <w:numPr>
          <w:ilvl w:val="0"/>
          <w:numId w:val="0"/>
        </w:numPr>
        <w:rPr>
          <w:rFonts w:ascii="Times New Roman" w:hAnsi="Times New Roman" w:cs="Times New Roman"/>
          <w:sz w:val="18"/>
          <w:szCs w:val="18"/>
        </w:rPr>
      </w:pPr>
      <w:r w:rsidRPr="008738D2">
        <w:rPr>
          <w:rFonts w:ascii="Times New Roman" w:hAnsi="Times New Roman" w:cs="Times New Roman"/>
          <w:sz w:val="18"/>
          <w:szCs w:val="18"/>
        </w:rPr>
        <w:t>Amarah Batool is a third year PhD candidate at University of Tasmania, Australia. Currently she is working on projects related to drought stress tolerance in Barley. Her main objective is to screen barley genotypes on large scale and to determine physiological mechanisms conferring drought stress tolerance in Barley. She holds a Masters degree in Plant Breeding and Genetics from University of Sargodha, Pakistan and BSc (</w:t>
      </w:r>
      <w:proofErr w:type="spellStart"/>
      <w:r w:rsidRPr="008738D2">
        <w:rPr>
          <w:rFonts w:ascii="Times New Roman" w:hAnsi="Times New Roman" w:cs="Times New Roman"/>
          <w:sz w:val="18"/>
          <w:szCs w:val="18"/>
        </w:rPr>
        <w:t>Hons</w:t>
      </w:r>
      <w:proofErr w:type="spellEnd"/>
      <w:r w:rsidRPr="008738D2">
        <w:rPr>
          <w:rFonts w:ascii="Times New Roman" w:hAnsi="Times New Roman" w:cs="Times New Roman"/>
          <w:sz w:val="18"/>
          <w:szCs w:val="18"/>
        </w:rPr>
        <w:t>) from University of Agriculture, Faisalabad, Pakistan.</w:t>
      </w:r>
    </w:p>
    <w:p w14:paraId="7BFCD14F" w14:textId="77777777" w:rsidR="008738D2" w:rsidRPr="008738D2" w:rsidRDefault="008738D2" w:rsidP="00A8203D">
      <w:pPr>
        <w:spacing w:line="360" w:lineRule="auto"/>
        <w:jc w:val="both"/>
        <w:rPr>
          <w:rFonts w:ascii="Times New Roman" w:hAnsi="Times New Roman" w:cs="Times New Roman"/>
          <w:b/>
          <w:sz w:val="18"/>
          <w:szCs w:val="18"/>
        </w:rPr>
      </w:pPr>
    </w:p>
    <w:p w14:paraId="2CF6B152" w14:textId="77777777" w:rsidR="004B04DB" w:rsidRPr="008738D2" w:rsidRDefault="004B04DB">
      <w:pPr>
        <w:rPr>
          <w:rFonts w:ascii="Times New Roman" w:hAnsi="Times New Roman" w:cs="Times New Roman"/>
          <w:sz w:val="18"/>
          <w:szCs w:val="18"/>
        </w:rPr>
      </w:pPr>
    </w:p>
    <w:sectPr w:rsidR="004B04DB" w:rsidRPr="008738D2" w:rsidSect="008738D2">
      <w:type w:val="continuous"/>
      <w:pgSz w:w="11900" w:h="16840"/>
      <w:pgMar w:top="1440" w:right="1800" w:bottom="1440" w:left="180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E737D"/>
    <w:multiLevelType w:val="hybridMultilevel"/>
    <w:tmpl w:val="F93C0704"/>
    <w:lvl w:ilvl="0" w:tplc="806417D2">
      <w:start w:val="1"/>
      <w:numFmt w:val="decimal"/>
      <w:pStyle w:val="EndNoteBibliography"/>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03D"/>
    <w:rsid w:val="004B04DB"/>
    <w:rsid w:val="008510EA"/>
    <w:rsid w:val="008738D2"/>
    <w:rsid w:val="0089275C"/>
    <w:rsid w:val="00A820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7DB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8D2"/>
    <w:rPr>
      <w:color w:val="0000FF" w:themeColor="hyperlink"/>
      <w:u w:val="single"/>
    </w:rPr>
  </w:style>
  <w:style w:type="paragraph" w:customStyle="1" w:styleId="EndNoteBibliography">
    <w:name w:val="EndNote Bibliography"/>
    <w:basedOn w:val="Normal"/>
    <w:rsid w:val="008738D2"/>
    <w:pPr>
      <w:numPr>
        <w:numId w:val="1"/>
      </w:numPr>
      <w:ind w:left="0" w:firstLine="0"/>
      <w:jc w:val="both"/>
    </w:pPr>
    <w:rPr>
      <w:rFonts w:ascii="Cambria" w:hAnsi="Cambria"/>
    </w:rPr>
  </w:style>
  <w:style w:type="paragraph" w:styleId="BalloonText">
    <w:name w:val="Balloon Text"/>
    <w:basedOn w:val="Normal"/>
    <w:link w:val="BalloonTextChar"/>
    <w:uiPriority w:val="99"/>
    <w:semiHidden/>
    <w:unhideWhenUsed/>
    <w:rsid w:val="00873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38D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8D2"/>
    <w:rPr>
      <w:color w:val="0000FF" w:themeColor="hyperlink"/>
      <w:u w:val="single"/>
    </w:rPr>
  </w:style>
  <w:style w:type="paragraph" w:customStyle="1" w:styleId="EndNoteBibliography">
    <w:name w:val="EndNote Bibliography"/>
    <w:basedOn w:val="Normal"/>
    <w:rsid w:val="008738D2"/>
    <w:pPr>
      <w:numPr>
        <w:numId w:val="1"/>
      </w:numPr>
      <w:ind w:left="0" w:firstLine="0"/>
      <w:jc w:val="both"/>
    </w:pPr>
    <w:rPr>
      <w:rFonts w:ascii="Cambria" w:hAnsi="Cambria"/>
    </w:rPr>
  </w:style>
  <w:style w:type="paragraph" w:styleId="BalloonText">
    <w:name w:val="Balloon Text"/>
    <w:basedOn w:val="Normal"/>
    <w:link w:val="BalloonTextChar"/>
    <w:uiPriority w:val="99"/>
    <w:semiHidden/>
    <w:unhideWhenUsed/>
    <w:rsid w:val="008738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38D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Amarah.Batool@utas.edu.au" TargetMode="Externa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2657</Characters>
  <Application>Microsoft Macintosh Word</Application>
  <DocSecurity>0</DocSecurity>
  <Lines>22</Lines>
  <Paragraphs>6</Paragraphs>
  <ScaleCrop>false</ScaleCrop>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Amarah Batool</dc:creator>
  <cp:keywords/>
  <dc:description/>
  <cp:lastModifiedBy>Amarah Batool</cp:lastModifiedBy>
  <cp:revision>2</cp:revision>
  <dcterms:created xsi:type="dcterms:W3CDTF">2017-06-30T07:07:00Z</dcterms:created>
  <dcterms:modified xsi:type="dcterms:W3CDTF">2017-07-03T03:29:00Z</dcterms:modified>
</cp:coreProperties>
</file>