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489" w:rsidRPr="00C8384F" w:rsidRDefault="00533B09" w:rsidP="00E94489">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B</w:t>
      </w:r>
      <w:r w:rsidRPr="00C8384F">
        <w:rPr>
          <w:rFonts w:ascii="Times New Roman" w:hAnsi="Times New Roman" w:cs="Times New Roman"/>
          <w:b/>
          <w:color w:val="000000"/>
          <w:sz w:val="28"/>
          <w:szCs w:val="28"/>
        </w:rPr>
        <w:t>io-efficacy</w:t>
      </w:r>
      <w:r>
        <w:rPr>
          <w:rFonts w:ascii="Times New Roman" w:hAnsi="Times New Roman" w:cs="Times New Roman"/>
          <w:b/>
          <w:color w:val="000000"/>
          <w:sz w:val="28"/>
          <w:szCs w:val="28"/>
        </w:rPr>
        <w:t xml:space="preserve">, </w:t>
      </w:r>
      <w:r w:rsidRPr="00C8384F">
        <w:rPr>
          <w:rFonts w:ascii="Times New Roman" w:hAnsi="Times New Roman" w:cs="Times New Roman"/>
          <w:b/>
          <w:color w:val="000000"/>
          <w:sz w:val="28"/>
          <w:szCs w:val="28"/>
        </w:rPr>
        <w:t xml:space="preserve">phyto-toxicity &amp; </w:t>
      </w:r>
      <w:r>
        <w:rPr>
          <w:rFonts w:ascii="Times New Roman" w:hAnsi="Times New Roman" w:cs="Times New Roman"/>
          <w:b/>
          <w:color w:val="000000"/>
          <w:sz w:val="28"/>
          <w:szCs w:val="28"/>
        </w:rPr>
        <w:t xml:space="preserve">effect on </w:t>
      </w:r>
      <w:r w:rsidRPr="00C8384F">
        <w:rPr>
          <w:rFonts w:ascii="Times New Roman" w:hAnsi="Times New Roman" w:cs="Times New Roman"/>
          <w:b/>
          <w:color w:val="000000"/>
          <w:sz w:val="28"/>
          <w:szCs w:val="28"/>
        </w:rPr>
        <w:t>soil physico-chemical and biological properties</w:t>
      </w:r>
      <w:r>
        <w:rPr>
          <w:rFonts w:ascii="Times New Roman" w:hAnsi="Times New Roman" w:cs="Times New Roman"/>
          <w:b/>
          <w:color w:val="000000"/>
          <w:sz w:val="28"/>
          <w:szCs w:val="28"/>
        </w:rPr>
        <w:t xml:space="preserve"> of </w:t>
      </w:r>
      <w:r w:rsidR="00C8384F" w:rsidRPr="00C8384F">
        <w:rPr>
          <w:rFonts w:ascii="Times New Roman" w:hAnsi="Times New Roman" w:cs="Times New Roman"/>
          <w:b/>
          <w:color w:val="000000"/>
          <w:sz w:val="28"/>
          <w:szCs w:val="28"/>
        </w:rPr>
        <w:t>Glyphosate 71% SG (Ammonium Salt)</w:t>
      </w:r>
      <w:r w:rsidR="00C8384F">
        <w:rPr>
          <w:rFonts w:ascii="Times New Roman" w:hAnsi="Times New Roman" w:cs="Times New Roman"/>
          <w:b/>
          <w:color w:val="000000"/>
          <w:sz w:val="28"/>
          <w:szCs w:val="28"/>
        </w:rPr>
        <w:t xml:space="preserve"> </w:t>
      </w:r>
      <w:r w:rsidR="00C8384F" w:rsidRPr="00C8384F">
        <w:rPr>
          <w:rFonts w:ascii="Times New Roman" w:hAnsi="Times New Roman" w:cs="Times New Roman"/>
          <w:b/>
          <w:color w:val="000000"/>
          <w:sz w:val="28"/>
          <w:szCs w:val="28"/>
        </w:rPr>
        <w:t xml:space="preserve">in Tea </w:t>
      </w:r>
      <w:r w:rsidR="00C8384F" w:rsidRPr="00C8384F">
        <w:rPr>
          <w:rFonts w:ascii="Times New Roman" w:hAnsi="Times New Roman" w:cs="Times New Roman"/>
          <w:b/>
          <w:sz w:val="28"/>
          <w:szCs w:val="28"/>
        </w:rPr>
        <w:t>(</w:t>
      </w:r>
      <w:r w:rsidR="00C8384F" w:rsidRPr="00C8384F">
        <w:rPr>
          <w:rFonts w:ascii="Times New Roman" w:hAnsi="Times New Roman" w:cs="Times New Roman"/>
          <w:b/>
          <w:i/>
          <w:sz w:val="28"/>
          <w:szCs w:val="28"/>
        </w:rPr>
        <w:t>Camellia sinensis</w:t>
      </w:r>
      <w:r w:rsidR="00C8384F" w:rsidRPr="00C8384F">
        <w:rPr>
          <w:rFonts w:ascii="Times New Roman" w:hAnsi="Times New Roman" w:cs="Times New Roman"/>
          <w:b/>
          <w:sz w:val="28"/>
          <w:szCs w:val="28"/>
        </w:rPr>
        <w:t xml:space="preserve"> L.)</w:t>
      </w:r>
      <w:r w:rsidR="00C8384F" w:rsidRPr="00C8384F">
        <w:rPr>
          <w:rFonts w:ascii="Times New Roman" w:hAnsi="Times New Roman" w:cs="Times New Roman"/>
          <w:b/>
          <w:color w:val="000000"/>
          <w:sz w:val="28"/>
          <w:szCs w:val="28"/>
        </w:rPr>
        <w:t xml:space="preserve"> </w:t>
      </w:r>
      <w:r w:rsidR="00C8384F">
        <w:rPr>
          <w:rFonts w:ascii="Times New Roman" w:hAnsi="Times New Roman" w:cs="Times New Roman"/>
          <w:b/>
          <w:color w:val="000000"/>
          <w:sz w:val="28"/>
          <w:szCs w:val="28"/>
        </w:rPr>
        <w:t xml:space="preserve">-- </w:t>
      </w:r>
    </w:p>
    <w:p w:rsidR="00E94489" w:rsidRDefault="00E94489" w:rsidP="00E94489">
      <w:pPr>
        <w:pStyle w:val="BodyText"/>
        <w:jc w:val="center"/>
        <w:rPr>
          <w:rFonts w:ascii="Arial" w:hAnsi="Arial" w:cs="Arial"/>
          <w:b/>
          <w:bCs/>
          <w:u w:val="single"/>
        </w:rPr>
      </w:pPr>
      <w:r>
        <w:rPr>
          <w:rFonts w:ascii="Arial" w:hAnsi="Arial" w:cs="Arial"/>
          <w:b/>
          <w:bCs/>
          <w:u w:val="single"/>
        </w:rPr>
        <w:t>Dr. Poddar Parthendu</w:t>
      </w:r>
    </w:p>
    <w:p w:rsidR="00E94489" w:rsidRDefault="00E94489" w:rsidP="00E94489">
      <w:pPr>
        <w:pStyle w:val="BodyText"/>
        <w:jc w:val="center"/>
        <w:rPr>
          <w:rFonts w:ascii="Arial" w:hAnsi="Arial" w:cs="Arial"/>
          <w:b/>
          <w:bCs/>
          <w:u w:val="single"/>
        </w:rPr>
      </w:pPr>
    </w:p>
    <w:p w:rsidR="00E94489" w:rsidRDefault="00E94489" w:rsidP="00E94489">
      <w:pPr>
        <w:pStyle w:val="BodyText"/>
        <w:jc w:val="center"/>
        <w:rPr>
          <w:rFonts w:ascii="Arial" w:hAnsi="Arial" w:cs="Arial"/>
          <w:bCs/>
        </w:rPr>
      </w:pPr>
      <w:r>
        <w:rPr>
          <w:rFonts w:ascii="Arial" w:hAnsi="Arial" w:cs="Arial"/>
          <w:bCs/>
        </w:rPr>
        <w:t>Assistant Professor (Senior scale), Discipline of Agronomy,</w:t>
      </w:r>
    </w:p>
    <w:p w:rsidR="00E94489" w:rsidRDefault="00E94489" w:rsidP="00E94489">
      <w:pPr>
        <w:pStyle w:val="BodyText"/>
        <w:jc w:val="center"/>
        <w:rPr>
          <w:rFonts w:ascii="Arial" w:hAnsi="Arial" w:cs="Arial"/>
          <w:bCs/>
        </w:rPr>
      </w:pPr>
      <w:r>
        <w:rPr>
          <w:rFonts w:ascii="Arial" w:hAnsi="Arial" w:cs="Arial"/>
          <w:bCs/>
        </w:rPr>
        <w:t xml:space="preserve">Uttar Banga Krishi Viswavidyalaya (North Bengal Agricultural University), </w:t>
      </w:r>
    </w:p>
    <w:p w:rsidR="00E94489" w:rsidRDefault="00E94489" w:rsidP="00E94489">
      <w:pPr>
        <w:pStyle w:val="BodyText"/>
        <w:jc w:val="center"/>
        <w:rPr>
          <w:rFonts w:ascii="Arial" w:hAnsi="Arial" w:cs="Arial"/>
          <w:bCs/>
        </w:rPr>
      </w:pPr>
      <w:r>
        <w:rPr>
          <w:rFonts w:ascii="Arial" w:hAnsi="Arial" w:cs="Arial"/>
          <w:bCs/>
        </w:rPr>
        <w:t>Pundibari, Coochbehar, West Bengal, INDIA—736165</w:t>
      </w:r>
    </w:p>
    <w:p w:rsidR="00E94489" w:rsidRDefault="00E94489" w:rsidP="00E94489">
      <w:pPr>
        <w:pStyle w:val="BodyText"/>
        <w:jc w:val="center"/>
        <w:rPr>
          <w:rFonts w:ascii="Arial" w:hAnsi="Arial" w:cs="Arial"/>
          <w:bCs/>
        </w:rPr>
      </w:pPr>
      <w:r>
        <w:rPr>
          <w:rFonts w:ascii="Arial" w:hAnsi="Arial" w:cs="Arial"/>
          <w:bCs/>
        </w:rPr>
        <w:t>drparthendu.poddar@rediffmail.com</w:t>
      </w:r>
    </w:p>
    <w:p w:rsidR="00E94489" w:rsidRDefault="00E94489" w:rsidP="00E94489">
      <w:pPr>
        <w:jc w:val="center"/>
        <w:rPr>
          <w:rFonts w:ascii="Arial" w:hAnsi="Arial" w:cs="Arial"/>
          <w:b/>
          <w:i/>
          <w:u w:val="single"/>
        </w:rPr>
      </w:pPr>
      <w:r>
        <w:rPr>
          <w:rFonts w:ascii="Arial" w:hAnsi="Arial" w:cs="Arial"/>
          <w:b/>
          <w:i/>
          <w:u w:val="single"/>
        </w:rPr>
        <w:t>Abstract</w:t>
      </w:r>
    </w:p>
    <w:p w:rsidR="00E94489" w:rsidRDefault="00E94489" w:rsidP="00E94489">
      <w:pPr>
        <w:jc w:val="both"/>
        <w:rPr>
          <w:rFonts w:ascii="Arial" w:hAnsi="Arial" w:cs="Arial"/>
        </w:rPr>
      </w:pPr>
      <w:r>
        <w:rPr>
          <w:rFonts w:ascii="Arial" w:hAnsi="Arial" w:cs="Arial"/>
        </w:rPr>
        <w:tab/>
        <w:t>In northern part of West Bengal, one of the eastern states in India, Tea is profusely grown in the hills as well as foothills (</w:t>
      </w:r>
      <w:r>
        <w:rPr>
          <w:rFonts w:ascii="Arial" w:hAnsi="Arial" w:cs="Arial"/>
          <w:i/>
        </w:rPr>
        <w:t xml:space="preserve">terai) </w:t>
      </w:r>
      <w:r>
        <w:rPr>
          <w:rFonts w:ascii="Arial" w:hAnsi="Arial" w:cs="Arial"/>
        </w:rPr>
        <w:t>comprising acidic soil. Annual rainfall to the tune of 2000-3000 mm coupled with ambient temperature of 25</w:t>
      </w:r>
      <w:r>
        <w:rPr>
          <w:rFonts w:ascii="Arial" w:hAnsi="Arial" w:cs="Arial"/>
          <w:vertAlign w:val="superscript"/>
        </w:rPr>
        <w:t>0</w:t>
      </w:r>
      <w:r>
        <w:rPr>
          <w:rFonts w:ascii="Arial" w:hAnsi="Arial" w:cs="Arial"/>
        </w:rPr>
        <w:t>C to 30</w:t>
      </w:r>
      <w:r>
        <w:rPr>
          <w:rFonts w:ascii="Arial" w:hAnsi="Arial" w:cs="Arial"/>
          <w:vertAlign w:val="superscript"/>
        </w:rPr>
        <w:t>0</w:t>
      </w:r>
      <w:r>
        <w:rPr>
          <w:rFonts w:ascii="Arial" w:hAnsi="Arial" w:cs="Arial"/>
        </w:rPr>
        <w:t>C favours luxuriant growth of weeds in tea. Feeder roots of tea occupy the inter rows, hence manual weeding by hoeing or forking cause damage to the roots. Root injury leads to infection by</w:t>
      </w:r>
      <w:r>
        <w:rPr>
          <w:rFonts w:ascii="Arial" w:hAnsi="Arial" w:cs="Arial"/>
          <w:i/>
        </w:rPr>
        <w:t xml:space="preserve"> Armitarria mellea </w:t>
      </w:r>
      <w:r>
        <w:rPr>
          <w:rFonts w:ascii="Arial" w:hAnsi="Arial" w:cs="Arial"/>
        </w:rPr>
        <w:t>causing</w:t>
      </w:r>
      <w:r>
        <w:rPr>
          <w:rFonts w:ascii="Arial" w:hAnsi="Arial" w:cs="Arial"/>
          <w:i/>
        </w:rPr>
        <w:t xml:space="preserve"> </w:t>
      </w:r>
      <w:r>
        <w:rPr>
          <w:rFonts w:ascii="Arial" w:hAnsi="Arial" w:cs="Arial"/>
        </w:rPr>
        <w:t>a root disease of tea and consequent poorer response to nutrients. In the era of mechanised agriculture, with organised chemical weed control, although a bit expensive initially, this situation can be avoided resulting into higher yield of tea and maximisation of profit.</w:t>
      </w:r>
    </w:p>
    <w:p w:rsidR="00E94489" w:rsidRDefault="00E94489" w:rsidP="00E94489">
      <w:pPr>
        <w:jc w:val="both"/>
        <w:rPr>
          <w:rFonts w:ascii="Arial" w:hAnsi="Arial" w:cs="Arial"/>
          <w:color w:val="000000"/>
        </w:rPr>
      </w:pPr>
      <w:r>
        <w:rPr>
          <w:rFonts w:ascii="Arial" w:hAnsi="Arial" w:cs="Arial"/>
        </w:rPr>
        <w:tab/>
        <w:t xml:space="preserve">In the above backdrop, one field experiment was conducted during 2013 in the Mathura Tea Estate, Jalpaiguri, West Bengal. The variety of tea was ‘Old seed jat’. The experiment comprised of seven treatments namely Glyphosate  71% SG @ 1.5 kg/ha (1065 gm a. i./ha), @ 3.0 kg/ha (2130 gm a. i./ha), @ 4.5 kg/ha (3195 gm a. i./ha), @ 6.0 kg/ha (4260 gm a. i./ha), @ 9.0 kg/ha (6390 gm a. i./ha), </w:t>
      </w:r>
      <w:r>
        <w:rPr>
          <w:rFonts w:ascii="Arial" w:hAnsi="Arial" w:cs="Arial"/>
          <w:color w:val="000000"/>
        </w:rPr>
        <w:t>Check (</w:t>
      </w:r>
      <w:r>
        <w:rPr>
          <w:rFonts w:ascii="Arial" w:hAnsi="Arial" w:cs="Arial"/>
        </w:rPr>
        <w:t>Glyphosate  71% SG</w:t>
      </w:r>
      <w:r>
        <w:rPr>
          <w:rFonts w:ascii="Arial" w:hAnsi="Arial" w:cs="Arial"/>
          <w:color w:val="000000"/>
        </w:rPr>
        <w:t xml:space="preserve">) </w:t>
      </w:r>
      <w:r>
        <w:rPr>
          <w:rFonts w:ascii="Arial" w:hAnsi="Arial" w:cs="Arial"/>
        </w:rPr>
        <w:t xml:space="preserve">@ 3.0 kg/ha (2130 gm a. i./ha) &amp; </w:t>
      </w:r>
      <w:r>
        <w:rPr>
          <w:rFonts w:ascii="Arial" w:hAnsi="Arial" w:cs="Arial"/>
          <w:color w:val="000000"/>
        </w:rPr>
        <w:t xml:space="preserve">Control. Treatments were fitted in randomised block design replicated thrice. Observations recorded were population of monocotyledonous and dicotyledonous weeds &amp; weed dry weight  at 0, 15, 30, 45 &amp; 60 Days After Application (DAA), Weed Control Efficiency (WCE) (%), phyto-toxicity in tea and yield of green leaf of tea in quintal / ha. Effect of treating herbicide on the soil physico-chemical properties like status of N, P, K, Zn, Cu, Fe, Mn, soil pH &amp; EC were analysed separately at 01 day before application, 45 days after application and at harvest. Moreover, effect of treating herbicide on the soil micro flora and fauna like population of bacteria, fungus, </w:t>
      </w:r>
      <w:r>
        <w:rPr>
          <w:rFonts w:ascii="Arial" w:hAnsi="Arial" w:cs="Arial"/>
          <w:i/>
          <w:color w:val="000000"/>
        </w:rPr>
        <w:t xml:space="preserve">Actinomycetes, </w:t>
      </w:r>
      <w:r>
        <w:rPr>
          <w:rFonts w:ascii="Arial" w:hAnsi="Arial" w:cs="Arial"/>
          <w:color w:val="000000"/>
        </w:rPr>
        <w:t xml:space="preserve">earthworm as well as predatory nematodes in soil were also analysed separately at 01 day before application, 45 days after application and at harvest. At the experimental site, dicotyledonous weeds like </w:t>
      </w:r>
      <w:r>
        <w:rPr>
          <w:rFonts w:ascii="Arial" w:hAnsi="Arial" w:cs="Arial"/>
          <w:bCs/>
          <w:i/>
        </w:rPr>
        <w:t xml:space="preserve">Acalypha indica, Sida acuta, Ipomoea spp., Cychorium intybus, Digera arvensis, Digitaria sanguinalis </w:t>
      </w:r>
      <w:r>
        <w:rPr>
          <w:rFonts w:ascii="Arial" w:hAnsi="Arial" w:cs="Arial"/>
          <w:bCs/>
        </w:rPr>
        <w:t>and mono</w:t>
      </w:r>
      <w:r>
        <w:rPr>
          <w:rFonts w:ascii="Arial" w:hAnsi="Arial" w:cs="Arial"/>
          <w:color w:val="000000"/>
        </w:rPr>
        <w:t xml:space="preserve">cotyledonous weeds like </w:t>
      </w:r>
      <w:r>
        <w:rPr>
          <w:rFonts w:ascii="Arial" w:hAnsi="Arial" w:cs="Arial"/>
          <w:bCs/>
          <w:i/>
        </w:rPr>
        <w:t xml:space="preserve">Paspalum conjugatum, Cynodon dactylon, Cyperus rotundus, Eragrostis spp., </w:t>
      </w:r>
      <w:r>
        <w:rPr>
          <w:rFonts w:ascii="Arial" w:hAnsi="Arial" w:cs="Arial"/>
          <w:i/>
        </w:rPr>
        <w:t xml:space="preserve">Cyperus spp. </w:t>
      </w:r>
      <w:r>
        <w:rPr>
          <w:rFonts w:ascii="Arial" w:hAnsi="Arial" w:cs="Arial"/>
        </w:rPr>
        <w:t>were prevalent at the initial stage before application of the herbicide in reference.</w:t>
      </w:r>
    </w:p>
    <w:p w:rsidR="00E94489" w:rsidRDefault="00E94489" w:rsidP="00E94489">
      <w:pPr>
        <w:autoSpaceDE w:val="0"/>
        <w:autoSpaceDN w:val="0"/>
        <w:adjustRightInd w:val="0"/>
        <w:spacing w:after="0"/>
        <w:ind w:firstLine="720"/>
        <w:jc w:val="both"/>
        <w:rPr>
          <w:rFonts w:ascii="Times New Roman" w:hAnsi="Times New Roman" w:cs="Times New Roman"/>
          <w:b/>
          <w:color w:val="000000"/>
          <w:sz w:val="24"/>
          <w:szCs w:val="24"/>
        </w:rPr>
      </w:pPr>
      <w:r>
        <w:rPr>
          <w:rFonts w:ascii="Arial" w:hAnsi="Arial" w:cs="Arial"/>
          <w:color w:val="000000"/>
        </w:rPr>
        <w:tab/>
        <w:t>From the results it was evident that so far as population of weeds, dry weight of weeds &amp; weed control efficiency at 15, 30, 45 &amp; 60 DAA was concerned, treatment T</w:t>
      </w:r>
      <w:r>
        <w:rPr>
          <w:rFonts w:ascii="Arial" w:hAnsi="Arial" w:cs="Arial"/>
          <w:color w:val="000000"/>
          <w:vertAlign w:val="subscript"/>
        </w:rPr>
        <w:t xml:space="preserve">5 </w:t>
      </w:r>
      <w:r>
        <w:rPr>
          <w:rFonts w:ascii="Arial" w:hAnsi="Arial" w:cs="Arial"/>
          <w:color w:val="000000"/>
        </w:rPr>
        <w:t>i.e.</w:t>
      </w:r>
      <w:r>
        <w:rPr>
          <w:rFonts w:ascii="Arial" w:hAnsi="Arial" w:cs="Arial"/>
        </w:rPr>
        <w:t xml:space="preserve"> Glyphosate  71% SG @</w:t>
      </w:r>
      <w:r>
        <w:rPr>
          <w:rFonts w:ascii="Arial" w:hAnsi="Arial" w:cs="Arial"/>
          <w:color w:val="000000"/>
        </w:rPr>
        <w:t xml:space="preserve"> </w:t>
      </w:r>
      <w:r>
        <w:rPr>
          <w:rFonts w:ascii="Arial" w:hAnsi="Arial" w:cs="Arial"/>
        </w:rPr>
        <w:t xml:space="preserve">9.0 kg/ha (6390 gm a. i./ha) exhibited the most superior performance being statistically different from all other treatments. The best result from </w:t>
      </w:r>
      <w:r>
        <w:rPr>
          <w:rFonts w:ascii="Arial" w:hAnsi="Arial" w:cs="Arial"/>
          <w:color w:val="000000"/>
        </w:rPr>
        <w:t>T</w:t>
      </w:r>
      <w:r>
        <w:rPr>
          <w:rFonts w:ascii="Arial" w:hAnsi="Arial" w:cs="Arial"/>
          <w:color w:val="000000"/>
          <w:vertAlign w:val="subscript"/>
        </w:rPr>
        <w:t>5</w:t>
      </w:r>
      <w:r>
        <w:rPr>
          <w:rFonts w:ascii="Arial" w:hAnsi="Arial" w:cs="Arial"/>
          <w:color w:val="000000"/>
        </w:rPr>
        <w:t xml:space="preserve"> </w:t>
      </w:r>
      <w:r>
        <w:rPr>
          <w:rFonts w:ascii="Arial" w:hAnsi="Arial" w:cs="Arial"/>
          <w:color w:val="000000"/>
        </w:rPr>
        <w:lastRenderedPageBreak/>
        <w:t xml:space="preserve">was also evidenced from the green leaf yield of tea (7.68 Quintal/ha) in a single plucking after experiment. </w:t>
      </w:r>
      <w:r>
        <w:rPr>
          <w:rFonts w:ascii="Arial" w:eastAsia="Calibri" w:hAnsi="Arial" w:cs="Arial"/>
        </w:rPr>
        <w:t xml:space="preserve">In case of phyto-toxicity in tea , it was found that </w:t>
      </w:r>
      <w:r>
        <w:rPr>
          <w:rFonts w:ascii="Arial" w:hAnsi="Arial" w:cs="Arial"/>
        </w:rPr>
        <w:t>Glyphosate  71% SG</w:t>
      </w:r>
      <w:r>
        <w:rPr>
          <w:rFonts w:ascii="Arial" w:eastAsia="Calibri" w:hAnsi="Arial" w:cs="Arial"/>
        </w:rPr>
        <w:t xml:space="preserve"> at any dose did not show any phyto-toxicity symptoms of epinasty, hyponasty, vein clearing &amp; wilting of tea plants at 15,30, 45 and 60 days after  spraying of herbicide. So, application of  </w:t>
      </w:r>
      <w:r>
        <w:rPr>
          <w:rFonts w:ascii="Arial" w:hAnsi="Arial" w:cs="Arial"/>
        </w:rPr>
        <w:t>Glyphosate  71% SG @</w:t>
      </w:r>
      <w:r>
        <w:rPr>
          <w:rFonts w:ascii="Arial" w:hAnsi="Arial" w:cs="Arial"/>
          <w:color w:val="000000"/>
        </w:rPr>
        <w:t xml:space="preserve"> </w:t>
      </w:r>
      <w:r>
        <w:rPr>
          <w:rFonts w:ascii="Arial" w:hAnsi="Arial" w:cs="Arial"/>
        </w:rPr>
        <w:t>9.0 kg/ha (6390 gm a. i./ha) can be recommended for sufficient weed control and higher yield in tea.</w:t>
      </w:r>
    </w:p>
    <w:p w:rsidR="00E94489" w:rsidRPr="00007233" w:rsidRDefault="00007233" w:rsidP="00E94489">
      <w:pPr>
        <w:jc w:val="both"/>
        <w:rPr>
          <w:rFonts w:ascii="Times New Roman" w:hAnsi="Times New Roman" w:cs="Times New Roman"/>
          <w:b/>
          <w:sz w:val="24"/>
          <w:szCs w:val="24"/>
        </w:rPr>
      </w:pPr>
      <w:r w:rsidRPr="00007233">
        <w:rPr>
          <w:rFonts w:ascii="Times New Roman" w:hAnsi="Times New Roman" w:cs="Times New Roman"/>
          <w:b/>
          <w:sz w:val="24"/>
          <w:szCs w:val="24"/>
        </w:rPr>
        <w:t>Recent Publications (minimum 5)</w:t>
      </w:r>
    </w:p>
    <w:p w:rsidR="0017744D" w:rsidRDefault="00007233" w:rsidP="00007233">
      <w:pPr>
        <w:pStyle w:val="ListParagraph"/>
        <w:numPr>
          <w:ilvl w:val="0"/>
          <w:numId w:val="1"/>
        </w:numPr>
        <w:rPr>
          <w:rFonts w:ascii="Times New Roman" w:hAnsi="Times New Roman" w:cs="Times New Roman"/>
          <w:sz w:val="24"/>
          <w:szCs w:val="24"/>
        </w:rPr>
      </w:pPr>
      <w:r w:rsidRPr="00007233">
        <w:rPr>
          <w:rFonts w:ascii="Times New Roman" w:hAnsi="Times New Roman" w:cs="Times New Roman"/>
          <w:sz w:val="24"/>
          <w:szCs w:val="24"/>
        </w:rPr>
        <w:t>Bhattacharya SP, Saha S, Ghosh RK , Karmakar AJ, Biswas S (2003) Bio-efficacy of MON-78152 on tea (</w:t>
      </w:r>
      <w:r w:rsidRPr="00007233">
        <w:rPr>
          <w:rFonts w:ascii="Times New Roman" w:hAnsi="Times New Roman" w:cs="Times New Roman"/>
          <w:i/>
          <w:sz w:val="24"/>
          <w:szCs w:val="24"/>
        </w:rPr>
        <w:t>Camellia sinensis</w:t>
      </w:r>
      <w:r w:rsidRPr="00007233">
        <w:rPr>
          <w:rFonts w:ascii="Times New Roman" w:hAnsi="Times New Roman" w:cs="Times New Roman"/>
          <w:sz w:val="24"/>
          <w:szCs w:val="24"/>
        </w:rPr>
        <w:t xml:space="preserve"> L.)</w:t>
      </w:r>
      <w:r>
        <w:rPr>
          <w:rFonts w:ascii="Times New Roman" w:hAnsi="Times New Roman" w:cs="Times New Roman"/>
          <w:sz w:val="24"/>
          <w:szCs w:val="24"/>
        </w:rPr>
        <w:t>. Environment and Ecology. 21(2):377-379</w:t>
      </w:r>
    </w:p>
    <w:p w:rsidR="00007233" w:rsidRDefault="00C8384F" w:rsidP="000072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Ilango RVJ (2003)</w:t>
      </w:r>
      <w:r w:rsidR="00CF0993">
        <w:rPr>
          <w:rFonts w:ascii="Times New Roman" w:hAnsi="Times New Roman" w:cs="Times New Roman"/>
          <w:sz w:val="24"/>
          <w:szCs w:val="24"/>
        </w:rPr>
        <w:t xml:space="preserve"> Evaluation of carfentrazone-ethyl for control of weeds in tea (Camellia spp. L.). Indian Journal of Weed Science. 35(3/4):296-297</w:t>
      </w:r>
    </w:p>
    <w:p w:rsidR="00533B09" w:rsidRDefault="00533B09" w:rsidP="000072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Islam M S, Ali M. (2013) Effect of herbicide Glyphosate on the microorganisms in tea growing soil. International Journal of Research in BioSciences. 2(4): 54-59</w:t>
      </w:r>
    </w:p>
    <w:p w:rsidR="00533B09" w:rsidRDefault="00533B09" w:rsidP="000072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Kumar A, Ghosh R K (2015) Bio-efficacy of Glyphosate 41% SL on management of weeds in Tea (</w:t>
      </w:r>
      <w:r w:rsidRPr="00533B09">
        <w:rPr>
          <w:rFonts w:ascii="Times New Roman" w:hAnsi="Times New Roman" w:cs="Times New Roman"/>
          <w:i/>
          <w:sz w:val="24"/>
          <w:szCs w:val="24"/>
        </w:rPr>
        <w:t>Camellia sinensis</w:t>
      </w:r>
      <w:r>
        <w:rPr>
          <w:rFonts w:ascii="Times New Roman" w:hAnsi="Times New Roman" w:cs="Times New Roman"/>
          <w:sz w:val="24"/>
          <w:szCs w:val="24"/>
        </w:rPr>
        <w:t xml:space="preserve"> L.). Paper presented in 25</w:t>
      </w:r>
      <w:r w:rsidRPr="00533B09">
        <w:rPr>
          <w:rFonts w:ascii="Times New Roman" w:hAnsi="Times New Roman" w:cs="Times New Roman"/>
          <w:sz w:val="24"/>
          <w:szCs w:val="24"/>
          <w:vertAlign w:val="superscript"/>
        </w:rPr>
        <w:t>th</w:t>
      </w:r>
      <w:r>
        <w:rPr>
          <w:rFonts w:ascii="Times New Roman" w:hAnsi="Times New Roman" w:cs="Times New Roman"/>
          <w:sz w:val="24"/>
          <w:szCs w:val="24"/>
        </w:rPr>
        <w:t xml:space="preserve"> APW</w:t>
      </w:r>
      <w:r w:rsidR="002104A2">
        <w:rPr>
          <w:rFonts w:ascii="Times New Roman" w:hAnsi="Times New Roman" w:cs="Times New Roman"/>
          <w:sz w:val="24"/>
          <w:szCs w:val="24"/>
        </w:rPr>
        <w:t>SS Conference, Hyderabad, India</w:t>
      </w:r>
    </w:p>
    <w:p w:rsidR="00533B09" w:rsidRPr="00007233" w:rsidRDefault="00533B09" w:rsidP="000072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Mirghasemi S T, Daneshian J, Baghestani M A (</w:t>
      </w:r>
      <w:r w:rsidR="002104A2">
        <w:rPr>
          <w:rFonts w:ascii="Times New Roman" w:hAnsi="Times New Roman" w:cs="Times New Roman"/>
          <w:sz w:val="24"/>
          <w:szCs w:val="24"/>
        </w:rPr>
        <w:t xml:space="preserve">2012) Investigating of increasing glyphosate herbicide efficiency with nitrogen in control of tea weeds. International Journal of Agriculture and Crop Sciences.4 (24): 1817-1820  </w:t>
      </w:r>
    </w:p>
    <w:p w:rsidR="00432FA5" w:rsidRPr="00437155" w:rsidRDefault="002104A2">
      <w:pPr>
        <w:rPr>
          <w:rFonts w:ascii="Times New Roman" w:hAnsi="Times New Roman" w:cs="Times New Roman"/>
          <w:b/>
        </w:rPr>
      </w:pPr>
      <w:r w:rsidRPr="00437155">
        <w:rPr>
          <w:rFonts w:ascii="Times New Roman" w:hAnsi="Times New Roman" w:cs="Times New Roman"/>
          <w:b/>
        </w:rPr>
        <w:t>Bio-graphy:</w:t>
      </w:r>
    </w:p>
    <w:p w:rsidR="002104A2" w:rsidRPr="00437155" w:rsidRDefault="002104A2" w:rsidP="002104A2">
      <w:pPr>
        <w:ind w:firstLine="720"/>
        <w:jc w:val="both"/>
        <w:rPr>
          <w:rFonts w:ascii="Times New Roman" w:hAnsi="Times New Roman" w:cs="Times New Roman"/>
        </w:rPr>
      </w:pPr>
      <w:r w:rsidRPr="00437155">
        <w:rPr>
          <w:rFonts w:ascii="Times New Roman" w:hAnsi="Times New Roman" w:cs="Times New Roman"/>
        </w:rPr>
        <w:t xml:space="preserve">The author is in the capacity of Assistant Professor in Agronomy in an Agricultural University in India and has expertise in crop and weed management. He is the Project Co-ordinator or Principal Investigator or Co-investigator of several projects including the plant protection chemicals funded by Multinationals or Govt. Agency or International Institutes. The author has research experience of almost 24 years. The author has guided several M. Sc.  Students. The author has about 40 publications to his credit. </w:t>
      </w:r>
    </w:p>
    <w:p w:rsidR="00432FA5" w:rsidRDefault="00432FA5"/>
    <w:p w:rsidR="00432FA5" w:rsidRDefault="00432FA5"/>
    <w:p w:rsidR="00432FA5" w:rsidRDefault="00432FA5"/>
    <w:p w:rsidR="00432FA5" w:rsidRDefault="00432FA5"/>
    <w:sectPr w:rsidR="00432FA5" w:rsidSect="0078204A">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C28" w:rsidRDefault="00FB1C28" w:rsidP="00CB365E">
      <w:pPr>
        <w:spacing w:after="0" w:line="240" w:lineRule="auto"/>
      </w:pPr>
      <w:r>
        <w:separator/>
      </w:r>
    </w:p>
  </w:endnote>
  <w:endnote w:type="continuationSeparator" w:id="1">
    <w:p w:rsidR="00FB1C28" w:rsidRDefault="00FB1C28" w:rsidP="00CB36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C28" w:rsidRDefault="00FB1C28" w:rsidP="00CB365E">
      <w:pPr>
        <w:spacing w:after="0" w:line="240" w:lineRule="auto"/>
      </w:pPr>
      <w:r>
        <w:separator/>
      </w:r>
    </w:p>
  </w:footnote>
  <w:footnote w:type="continuationSeparator" w:id="1">
    <w:p w:rsidR="00FB1C28" w:rsidRDefault="00FB1C28" w:rsidP="00CB36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62139"/>
    <w:multiLevelType w:val="hybridMultilevel"/>
    <w:tmpl w:val="902085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94489"/>
    <w:rsid w:val="00007233"/>
    <w:rsid w:val="0015213D"/>
    <w:rsid w:val="0017744D"/>
    <w:rsid w:val="002104A2"/>
    <w:rsid w:val="002F40B7"/>
    <w:rsid w:val="00432FA5"/>
    <w:rsid w:val="00437155"/>
    <w:rsid w:val="00533B09"/>
    <w:rsid w:val="00576D52"/>
    <w:rsid w:val="0072411D"/>
    <w:rsid w:val="00725DB5"/>
    <w:rsid w:val="0078204A"/>
    <w:rsid w:val="007E1BD3"/>
    <w:rsid w:val="0094212D"/>
    <w:rsid w:val="0098306C"/>
    <w:rsid w:val="00B45974"/>
    <w:rsid w:val="00C8384F"/>
    <w:rsid w:val="00CB365E"/>
    <w:rsid w:val="00CF0993"/>
    <w:rsid w:val="00E94489"/>
    <w:rsid w:val="00EC7463"/>
    <w:rsid w:val="00F92579"/>
    <w:rsid w:val="00FB1C2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04A"/>
  </w:style>
  <w:style w:type="paragraph" w:styleId="Heading4">
    <w:name w:val="heading 4"/>
    <w:basedOn w:val="Normal"/>
    <w:link w:val="Heading4Char"/>
    <w:uiPriority w:val="9"/>
    <w:qFormat/>
    <w:rsid w:val="00F9257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94489"/>
    <w:pPr>
      <w:suppressAutoHyphens/>
      <w:spacing w:after="120"/>
    </w:pPr>
    <w:rPr>
      <w:rFonts w:ascii="Calibri" w:eastAsia="SimSun" w:hAnsi="Calibri" w:cs="Calibri"/>
      <w:kern w:val="2"/>
      <w:lang w:val="fr-FR" w:eastAsia="en-US"/>
    </w:rPr>
  </w:style>
  <w:style w:type="character" w:customStyle="1" w:styleId="BodyTextChar">
    <w:name w:val="Body Text Char"/>
    <w:basedOn w:val="DefaultParagraphFont"/>
    <w:link w:val="BodyText"/>
    <w:semiHidden/>
    <w:rsid w:val="00E94489"/>
    <w:rPr>
      <w:rFonts w:ascii="Calibri" w:eastAsia="SimSun" w:hAnsi="Calibri" w:cs="Calibri"/>
      <w:kern w:val="2"/>
      <w:lang w:val="fr-FR" w:eastAsia="en-US"/>
    </w:rPr>
  </w:style>
  <w:style w:type="paragraph" w:styleId="Header">
    <w:name w:val="header"/>
    <w:basedOn w:val="Normal"/>
    <w:link w:val="HeaderChar"/>
    <w:uiPriority w:val="99"/>
    <w:semiHidden/>
    <w:unhideWhenUsed/>
    <w:rsid w:val="00CB365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365E"/>
  </w:style>
  <w:style w:type="paragraph" w:styleId="Footer">
    <w:name w:val="footer"/>
    <w:basedOn w:val="Normal"/>
    <w:link w:val="FooterChar"/>
    <w:uiPriority w:val="99"/>
    <w:semiHidden/>
    <w:unhideWhenUsed/>
    <w:rsid w:val="00CB365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365E"/>
  </w:style>
  <w:style w:type="character" w:customStyle="1" w:styleId="Heading4Char">
    <w:name w:val="Heading 4 Char"/>
    <w:basedOn w:val="DefaultParagraphFont"/>
    <w:link w:val="Heading4"/>
    <w:uiPriority w:val="9"/>
    <w:rsid w:val="00F9257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925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07233"/>
    <w:pPr>
      <w:ind w:left="720"/>
      <w:contextualSpacing/>
    </w:pPr>
  </w:style>
</w:styles>
</file>

<file path=word/webSettings.xml><?xml version="1.0" encoding="utf-8"?>
<w:webSettings xmlns:r="http://schemas.openxmlformats.org/officeDocument/2006/relationships" xmlns:w="http://schemas.openxmlformats.org/wordprocessingml/2006/main">
  <w:divs>
    <w:div w:id="675882733">
      <w:bodyDiv w:val="1"/>
      <w:marLeft w:val="0"/>
      <w:marRight w:val="0"/>
      <w:marTop w:val="0"/>
      <w:marBottom w:val="0"/>
      <w:divBdr>
        <w:top w:val="none" w:sz="0" w:space="0" w:color="auto"/>
        <w:left w:val="none" w:sz="0" w:space="0" w:color="auto"/>
        <w:bottom w:val="none" w:sz="0" w:space="0" w:color="auto"/>
        <w:right w:val="none" w:sz="0" w:space="0" w:color="auto"/>
      </w:divBdr>
      <w:divsChild>
        <w:div w:id="1789351953">
          <w:marLeft w:val="0"/>
          <w:marRight w:val="0"/>
          <w:marTop w:val="0"/>
          <w:marBottom w:val="0"/>
          <w:divBdr>
            <w:top w:val="none" w:sz="0" w:space="0" w:color="auto"/>
            <w:left w:val="none" w:sz="0" w:space="0" w:color="auto"/>
            <w:bottom w:val="none" w:sz="0" w:space="0" w:color="auto"/>
            <w:right w:val="none" w:sz="0" w:space="0" w:color="auto"/>
          </w:divBdr>
        </w:div>
        <w:div w:id="830412209">
          <w:marLeft w:val="0"/>
          <w:marRight w:val="0"/>
          <w:marTop w:val="0"/>
          <w:marBottom w:val="0"/>
          <w:divBdr>
            <w:top w:val="none" w:sz="0" w:space="0" w:color="auto"/>
            <w:left w:val="none" w:sz="0" w:space="0" w:color="auto"/>
            <w:bottom w:val="none" w:sz="0" w:space="0" w:color="auto"/>
            <w:right w:val="none" w:sz="0" w:space="0" w:color="auto"/>
          </w:divBdr>
        </w:div>
      </w:divsChild>
    </w:div>
    <w:div w:id="965963825">
      <w:bodyDiv w:val="1"/>
      <w:marLeft w:val="0"/>
      <w:marRight w:val="0"/>
      <w:marTop w:val="0"/>
      <w:marBottom w:val="0"/>
      <w:divBdr>
        <w:top w:val="none" w:sz="0" w:space="0" w:color="auto"/>
        <w:left w:val="none" w:sz="0" w:space="0" w:color="auto"/>
        <w:bottom w:val="none" w:sz="0" w:space="0" w:color="auto"/>
        <w:right w:val="none" w:sz="0" w:space="0" w:color="auto"/>
      </w:divBdr>
    </w:div>
    <w:div w:id="1123580003">
      <w:bodyDiv w:val="1"/>
      <w:marLeft w:val="0"/>
      <w:marRight w:val="0"/>
      <w:marTop w:val="0"/>
      <w:marBottom w:val="0"/>
      <w:divBdr>
        <w:top w:val="none" w:sz="0" w:space="0" w:color="auto"/>
        <w:left w:val="none" w:sz="0" w:space="0" w:color="auto"/>
        <w:bottom w:val="none" w:sz="0" w:space="0" w:color="auto"/>
        <w:right w:val="none" w:sz="0" w:space="0" w:color="auto"/>
      </w:divBdr>
      <w:divsChild>
        <w:div w:id="1666471861">
          <w:marLeft w:val="0"/>
          <w:marRight w:val="0"/>
          <w:marTop w:val="0"/>
          <w:marBottom w:val="0"/>
          <w:divBdr>
            <w:top w:val="none" w:sz="0" w:space="0" w:color="auto"/>
            <w:left w:val="none" w:sz="0" w:space="0" w:color="auto"/>
            <w:bottom w:val="none" w:sz="0" w:space="0" w:color="auto"/>
            <w:right w:val="none" w:sz="0" w:space="0" w:color="auto"/>
          </w:divBdr>
        </w:div>
        <w:div w:id="1691905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RKVY</dc:creator>
  <cp:keywords/>
  <dc:description/>
  <cp:lastModifiedBy>RKVY</cp:lastModifiedBy>
  <cp:revision>13</cp:revision>
  <cp:lastPrinted>2017-05-03T11:12:00Z</cp:lastPrinted>
  <dcterms:created xsi:type="dcterms:W3CDTF">2017-05-02T06:18:00Z</dcterms:created>
  <dcterms:modified xsi:type="dcterms:W3CDTF">2017-05-04T11:02:00Z</dcterms:modified>
</cp:coreProperties>
</file>