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201" w:rsidRPr="00800201" w:rsidRDefault="00800201" w:rsidP="00800201">
      <w:pPr>
        <w:widowControl/>
        <w:spacing w:after="200" w:line="360" w:lineRule="auto"/>
        <w:jc w:val="both"/>
        <w:rPr>
          <w:rFonts w:asciiTheme="minorHAnsi" w:eastAsia="Times New Roman" w:hAnsiTheme="minorHAnsi" w:cs="Times New Roman"/>
          <w:b/>
          <w:sz w:val="24"/>
          <w:szCs w:val="24"/>
          <w:lang w:val="en-ZA" w:eastAsia="en-ZA"/>
        </w:rPr>
      </w:pPr>
      <w:bookmarkStart w:id="0" w:name="_GoBack"/>
      <w:bookmarkEnd w:id="0"/>
      <w:r w:rsidRPr="00800201">
        <w:rPr>
          <w:rFonts w:asciiTheme="minorHAnsi" w:eastAsia="Times New Roman" w:hAnsiTheme="minorHAnsi" w:cs="Times New Roman"/>
          <w:b/>
          <w:sz w:val="24"/>
          <w:szCs w:val="24"/>
          <w:lang w:val="en-ZA" w:eastAsia="en-ZA"/>
        </w:rPr>
        <w:t>Socio-economic Contribution of Community Food Gardens to the Livelihoods of rural households in Lepelle-Nkumpi Local Municipality of Limpopo Province, South Africa</w:t>
      </w:r>
      <w:r w:rsidRPr="00D16BA7">
        <w:rPr>
          <w:rFonts w:asciiTheme="minorHAnsi" w:eastAsia="Times New Roman" w:hAnsiTheme="minorHAnsi" w:cs="Times New Roman"/>
          <w:b/>
          <w:sz w:val="24"/>
          <w:szCs w:val="24"/>
          <w:lang w:val="en-ZA" w:eastAsia="en-ZA"/>
        </w:rPr>
        <w:t>.</w:t>
      </w:r>
    </w:p>
    <w:p w:rsidR="00800201" w:rsidRPr="00D16BA7" w:rsidRDefault="00800201" w:rsidP="005973B9">
      <w:pPr>
        <w:pStyle w:val="BodyText"/>
        <w:spacing w:before="73" w:line="198" w:lineRule="exact"/>
        <w:ind w:left="100" w:right="5987"/>
        <w:rPr>
          <w:rFonts w:asciiTheme="minorHAnsi" w:hAnsiTheme="minorHAnsi"/>
        </w:rPr>
      </w:pPr>
      <w:r w:rsidRPr="00D16BA7">
        <w:rPr>
          <w:rFonts w:asciiTheme="minorHAnsi" w:hAnsiTheme="minorHAnsi"/>
        </w:rPr>
        <w:t>Malahlela N.D,</w:t>
      </w:r>
      <w:r w:rsidR="005973B9" w:rsidRPr="00D16BA7">
        <w:rPr>
          <w:rFonts w:asciiTheme="minorHAnsi" w:hAnsiTheme="minorHAnsi"/>
        </w:rPr>
        <w:t xml:space="preserve"> </w:t>
      </w:r>
      <w:r w:rsidRPr="00D16BA7">
        <w:rPr>
          <w:rFonts w:asciiTheme="minorHAnsi" w:hAnsiTheme="minorHAnsi"/>
        </w:rPr>
        <w:t>MSc</w:t>
      </w:r>
      <w:r w:rsidR="005973B9" w:rsidRPr="00D16BA7">
        <w:rPr>
          <w:rFonts w:asciiTheme="minorHAnsi" w:hAnsiTheme="minorHAnsi"/>
        </w:rPr>
        <w:t xml:space="preserve">, </w:t>
      </w:r>
      <w:r w:rsidRPr="00D16BA7">
        <w:rPr>
          <w:rFonts w:asciiTheme="minorHAnsi" w:hAnsiTheme="minorHAnsi"/>
        </w:rPr>
        <w:t>University of Fort Hare, South Africa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7D6F30" w:rsidRDefault="007D6F30">
      <w:pPr>
        <w:pStyle w:val="Heading3"/>
        <w:spacing w:before="147"/>
        <w:jc w:val="both"/>
      </w:pPr>
      <w:r w:rsidRPr="007D6F30">
        <w:rPr>
          <w:color w:val="BF5A14"/>
        </w:rPr>
        <w:lastRenderedPageBreak/>
        <w:t>Abstract</w:t>
      </w:r>
    </w:p>
    <w:p w:rsidR="00AE3E37" w:rsidRPr="00EF2196" w:rsidRDefault="00800201" w:rsidP="00EF2196">
      <w:pPr>
        <w:pStyle w:val="Heading3"/>
        <w:spacing w:before="74"/>
        <w:jc w:val="both"/>
        <w:rPr>
          <w:rFonts w:asciiTheme="minorHAnsi" w:eastAsia="Tw Cen MT" w:hAnsiTheme="minorHAnsi" w:cs="Tw Cen MT"/>
          <w:b w:val="0"/>
          <w:bCs w:val="0"/>
          <w:sz w:val="18"/>
          <w:szCs w:val="18"/>
        </w:rPr>
      </w:pPr>
      <w:r w:rsidRPr="00800201">
        <w:rPr>
          <w:rFonts w:asciiTheme="minorHAnsi" w:eastAsia="Tw Cen MT" w:hAnsiTheme="minorHAnsi" w:cs="Tw Cen MT"/>
          <w:b w:val="0"/>
          <w:bCs w:val="0"/>
          <w:sz w:val="18"/>
          <w:szCs w:val="18"/>
        </w:rPr>
        <w:t>Poverty and food insecurity has gained popularity as ongoing developmental issues and are ongoing problems in South Africa, but more prominent in rural areas (Rosegrant et al., 2001). Many of inhabitants in rural areas are linked either directly or indirectly to agricultural activities as source of livelihoods (Pauw, 2007). According to Taylor and Francis (2009) community food gardens (CFG) are viewed as a means through which rural household generate livelihoods and reduced their vulnerability to poverty and food insecurity. This study investigated the contribution of CFG to livelihoods of rural households in Lepelle-Nkumpi local municipality. The objective of this study was to determine the socioeconomic factors influencing the participation of rural households in community food gardens and further determine the contribution of CFG to household food security. The study was conducted in Lepelle-Nkumpi local municipality of Limpopo Province. Primary data was collected from a sample of 180 household using pre-tested structured questionnaires on face to face interview. Household dietary diversity score (HDDS) was used to classify household into either food secure or insecure using an average household dietary diversity score (AHDDS) (Ruel, 2004). Descriptive statistic</w:t>
      </w:r>
      <w:r>
        <w:rPr>
          <w:rFonts w:asciiTheme="minorHAnsi" w:eastAsia="Tw Cen MT" w:hAnsiTheme="minorHAnsi" w:cs="Tw Cen MT"/>
          <w:b w:val="0"/>
          <w:bCs w:val="0"/>
          <w:sz w:val="18"/>
          <w:szCs w:val="18"/>
        </w:rPr>
        <w:t xml:space="preserve">s </w:t>
      </w:r>
      <w:r w:rsidRPr="00800201">
        <w:rPr>
          <w:rFonts w:asciiTheme="minorHAnsi" w:eastAsia="Tw Cen MT" w:hAnsiTheme="minorHAnsi" w:cs="Tw Cen MT"/>
          <w:b w:val="0"/>
          <w:bCs w:val="0"/>
          <w:sz w:val="18"/>
          <w:szCs w:val="18"/>
        </w:rPr>
        <w:t xml:space="preserve">and Binary logistic regression were used as analytical tools in this study. The HDDS results reveals about 70% of the sampled household being food secure, of which around 42.2% are CFG participants. </w:t>
      </w:r>
      <w:r w:rsidR="00EF2196" w:rsidRPr="00800201">
        <w:rPr>
          <w:rFonts w:asciiTheme="minorHAnsi" w:eastAsia="Tw Cen MT" w:hAnsiTheme="minorHAnsi" w:cs="Tw Cen MT"/>
          <w:b w:val="0"/>
          <w:bCs w:val="0"/>
          <w:sz w:val="18"/>
          <w:szCs w:val="18"/>
        </w:rPr>
        <w:t>Sources</w:t>
      </w:r>
      <w:r w:rsidRPr="00800201">
        <w:rPr>
          <w:rFonts w:asciiTheme="minorHAnsi" w:eastAsia="Tw Cen MT" w:hAnsiTheme="minorHAnsi" w:cs="Tw Cen MT"/>
          <w:b w:val="0"/>
          <w:bCs w:val="0"/>
          <w:sz w:val="18"/>
          <w:szCs w:val="18"/>
        </w:rPr>
        <w:t xml:space="preserve"> of food and income</w:t>
      </w:r>
      <w:r w:rsidR="00EF2196">
        <w:rPr>
          <w:rFonts w:asciiTheme="minorHAnsi" w:eastAsia="Tw Cen MT" w:hAnsiTheme="minorHAnsi" w:cs="Tw Cen MT"/>
          <w:b w:val="0"/>
          <w:bCs w:val="0"/>
          <w:sz w:val="18"/>
          <w:szCs w:val="18"/>
        </w:rPr>
        <w:t xml:space="preserve"> are</w:t>
      </w:r>
      <w:r w:rsidRPr="00800201">
        <w:rPr>
          <w:rFonts w:asciiTheme="minorHAnsi" w:eastAsia="Tw Cen MT" w:hAnsiTheme="minorHAnsi" w:cs="Tw Cen MT"/>
          <w:b w:val="0"/>
          <w:bCs w:val="0"/>
          <w:sz w:val="18"/>
          <w:szCs w:val="18"/>
        </w:rPr>
        <w:t xml:space="preserve"> the main </w:t>
      </w:r>
      <w:r w:rsidR="00EF2196">
        <w:rPr>
          <w:rFonts w:asciiTheme="minorHAnsi" w:eastAsia="Tw Cen MT" w:hAnsiTheme="minorHAnsi" w:cs="Tw Cen MT"/>
          <w:b w:val="0"/>
          <w:bCs w:val="0"/>
          <w:sz w:val="18"/>
          <w:szCs w:val="18"/>
        </w:rPr>
        <w:t>reasons for household</w:t>
      </w:r>
      <w:r w:rsidRPr="00800201">
        <w:rPr>
          <w:rFonts w:asciiTheme="minorHAnsi" w:eastAsia="Tw Cen MT" w:hAnsiTheme="minorHAnsi" w:cs="Tw Cen MT"/>
          <w:b w:val="0"/>
          <w:bCs w:val="0"/>
          <w:sz w:val="18"/>
          <w:szCs w:val="18"/>
        </w:rPr>
        <w:t xml:space="preserve"> participation</w:t>
      </w:r>
      <w:r w:rsidR="00EF2196">
        <w:rPr>
          <w:rFonts w:asciiTheme="minorHAnsi" w:eastAsia="Tw Cen MT" w:hAnsiTheme="minorHAnsi" w:cs="Tw Cen MT"/>
          <w:b w:val="0"/>
          <w:bCs w:val="0"/>
          <w:sz w:val="18"/>
          <w:szCs w:val="18"/>
        </w:rPr>
        <w:t xml:space="preserve"> and willingness to</w:t>
      </w:r>
      <w:r w:rsidRPr="00800201">
        <w:rPr>
          <w:rFonts w:asciiTheme="minorHAnsi" w:eastAsia="Tw Cen MT" w:hAnsiTheme="minorHAnsi" w:cs="Tw Cen MT"/>
          <w:b w:val="0"/>
          <w:bCs w:val="0"/>
          <w:sz w:val="18"/>
          <w:szCs w:val="18"/>
        </w:rPr>
        <w:t xml:space="preserve"> </w:t>
      </w:r>
      <w:r w:rsidR="00EF2196">
        <w:rPr>
          <w:rFonts w:asciiTheme="minorHAnsi" w:eastAsia="Tw Cen MT" w:hAnsiTheme="minorHAnsi" w:cs="Tw Cen MT"/>
          <w:b w:val="0"/>
          <w:bCs w:val="0"/>
          <w:sz w:val="18"/>
          <w:szCs w:val="18"/>
        </w:rPr>
        <w:t>participa</w:t>
      </w:r>
      <w:r w:rsidR="00EF2196" w:rsidRPr="00800201">
        <w:rPr>
          <w:rFonts w:asciiTheme="minorHAnsi" w:eastAsia="Tw Cen MT" w:hAnsiTheme="minorHAnsi" w:cs="Tw Cen MT"/>
          <w:b w:val="0"/>
          <w:bCs w:val="0"/>
          <w:sz w:val="18"/>
          <w:szCs w:val="18"/>
        </w:rPr>
        <w:t>t</w:t>
      </w:r>
      <w:r w:rsidR="00EF2196">
        <w:rPr>
          <w:rFonts w:asciiTheme="minorHAnsi" w:eastAsia="Tw Cen MT" w:hAnsiTheme="minorHAnsi" w:cs="Tw Cen MT"/>
          <w:b w:val="0"/>
          <w:bCs w:val="0"/>
          <w:sz w:val="18"/>
          <w:szCs w:val="18"/>
        </w:rPr>
        <w:t xml:space="preserve">e in </w:t>
      </w:r>
      <w:r w:rsidR="00EF2196" w:rsidRPr="00800201">
        <w:rPr>
          <w:rFonts w:asciiTheme="minorHAnsi" w:eastAsia="Tw Cen MT" w:hAnsiTheme="minorHAnsi" w:cs="Tw Cen MT"/>
          <w:b w:val="0"/>
          <w:bCs w:val="0"/>
          <w:sz w:val="18"/>
          <w:szCs w:val="18"/>
        </w:rPr>
        <w:t>CFG</w:t>
      </w:r>
      <w:r w:rsidR="00EF2196">
        <w:rPr>
          <w:rFonts w:asciiTheme="minorHAnsi" w:eastAsia="Tw Cen MT" w:hAnsiTheme="minorHAnsi" w:cs="Tw Cen MT"/>
          <w:b w:val="0"/>
          <w:bCs w:val="0"/>
          <w:sz w:val="18"/>
          <w:szCs w:val="18"/>
        </w:rPr>
        <w:t>.</w:t>
      </w:r>
      <w:r w:rsidRPr="00800201">
        <w:rPr>
          <w:rFonts w:asciiTheme="minorHAnsi" w:eastAsia="Tw Cen MT" w:hAnsiTheme="minorHAnsi" w:cs="Tw Cen MT"/>
          <w:b w:val="0"/>
          <w:bCs w:val="0"/>
          <w:sz w:val="18"/>
          <w:szCs w:val="18"/>
        </w:rPr>
        <w:t xml:space="preserve">The empirical results shows that, socioeconomic variables such as gender, age, household size, farm income, educational level, household monthly income, marital status, information access, formal employment status and the participation of households in CFG is significant factors to household food security as also found by Bashir et al (2012). The study therefore concluded that CFG plays a significant role in improving household food security. </w:t>
      </w:r>
      <w:r w:rsidR="00A9710C" w:rsidRPr="00800201">
        <w:rPr>
          <w:rFonts w:asciiTheme="minorHAnsi" w:hAnsiTheme="minorHAnsi"/>
          <w:b w:val="0"/>
          <w:sz w:val="18"/>
          <w:szCs w:val="18"/>
        </w:rPr>
        <w:br w:type="column"/>
      </w:r>
    </w:p>
    <w:p w:rsidR="005973B9" w:rsidRDefault="005973B9" w:rsidP="00800201">
      <w:pPr>
        <w:spacing w:line="204" w:lineRule="exact"/>
        <w:ind w:left="383"/>
        <w:rPr>
          <w:rFonts w:ascii="Arial"/>
          <w:b/>
          <w:sz w:val="20"/>
        </w:rPr>
      </w:pPr>
      <w:r>
        <w:rPr>
          <w:rFonts w:ascii="Arial"/>
          <w:b/>
          <w:color w:val="BF5A14"/>
          <w:sz w:val="20"/>
        </w:rPr>
        <w:br/>
      </w:r>
      <w:r w:rsidR="00800201">
        <w:rPr>
          <w:rFonts w:ascii="Arial"/>
          <w:b/>
          <w:color w:val="BF5A14"/>
          <w:sz w:val="20"/>
        </w:rPr>
        <w:t>Bibliography</w:t>
      </w:r>
    </w:p>
    <w:p w:rsidR="00800201" w:rsidRPr="00800201" w:rsidRDefault="00800201" w:rsidP="00800201">
      <w:pPr>
        <w:pStyle w:val="ListParagraph"/>
        <w:numPr>
          <w:ilvl w:val="0"/>
          <w:numId w:val="3"/>
        </w:numPr>
        <w:tabs>
          <w:tab w:val="left" w:pos="384"/>
        </w:tabs>
        <w:spacing w:before="103" w:line="216" w:lineRule="exact"/>
        <w:ind w:right="138"/>
        <w:rPr>
          <w:sz w:val="18"/>
        </w:rPr>
      </w:pPr>
      <w:r w:rsidRPr="00800201">
        <w:rPr>
          <w:sz w:val="18"/>
        </w:rPr>
        <w:t xml:space="preserve">Bashir, M.K., </w:t>
      </w:r>
      <w:proofErr w:type="spellStart"/>
      <w:r w:rsidRPr="00800201">
        <w:rPr>
          <w:sz w:val="18"/>
        </w:rPr>
        <w:t>Schilizzi</w:t>
      </w:r>
      <w:proofErr w:type="spellEnd"/>
      <w:r w:rsidRPr="00800201">
        <w:rPr>
          <w:sz w:val="18"/>
        </w:rPr>
        <w:t xml:space="preserve">, S. and </w:t>
      </w:r>
      <w:proofErr w:type="spellStart"/>
      <w:r w:rsidRPr="00800201">
        <w:rPr>
          <w:sz w:val="18"/>
        </w:rPr>
        <w:t>Pandit</w:t>
      </w:r>
      <w:proofErr w:type="spellEnd"/>
      <w:r w:rsidRPr="00800201">
        <w:rPr>
          <w:sz w:val="18"/>
        </w:rPr>
        <w:t>, R. (2012). The determinants of rural household food security in the Punjab, Pakistan: an econometric analysis, Working Paper 1203, School of Agricultural and Resource Economics, University of Western Australia, Crawley, Australia. Pp 18.</w:t>
      </w:r>
    </w:p>
    <w:p w:rsidR="00800201" w:rsidRPr="00800201" w:rsidRDefault="00800201" w:rsidP="00800201">
      <w:pPr>
        <w:pStyle w:val="ListParagraph"/>
        <w:numPr>
          <w:ilvl w:val="0"/>
          <w:numId w:val="3"/>
        </w:numPr>
        <w:tabs>
          <w:tab w:val="left" w:pos="384"/>
        </w:tabs>
        <w:spacing w:before="103" w:line="216" w:lineRule="exact"/>
        <w:ind w:right="138"/>
        <w:rPr>
          <w:sz w:val="18"/>
        </w:rPr>
      </w:pPr>
      <w:r w:rsidRPr="00800201">
        <w:rPr>
          <w:sz w:val="18"/>
        </w:rPr>
        <w:t>Pauw. (2007). Agriculture and poverty: Farming for food or farming for money? Agrekon, 46 (2), 195-218.</w:t>
      </w:r>
    </w:p>
    <w:p w:rsidR="00800201" w:rsidRPr="00800201" w:rsidRDefault="00800201" w:rsidP="00800201">
      <w:pPr>
        <w:pStyle w:val="ListParagraph"/>
        <w:numPr>
          <w:ilvl w:val="0"/>
          <w:numId w:val="3"/>
        </w:numPr>
        <w:tabs>
          <w:tab w:val="left" w:pos="384"/>
        </w:tabs>
        <w:spacing w:before="103" w:line="216" w:lineRule="exact"/>
        <w:ind w:right="138"/>
        <w:rPr>
          <w:sz w:val="18"/>
        </w:rPr>
      </w:pPr>
      <w:r w:rsidRPr="00800201">
        <w:rPr>
          <w:sz w:val="18"/>
        </w:rPr>
        <w:t>Rosegrant, M.W., Paisner, M.S., Meijer, S. &amp; Witcover, J. 2001. Global food projection to 2020: Emerging trends and alternative futures. Washington, DC, IFPRI.</w:t>
      </w:r>
    </w:p>
    <w:p w:rsidR="00800201" w:rsidRPr="00800201" w:rsidRDefault="00800201" w:rsidP="00800201">
      <w:pPr>
        <w:pStyle w:val="ListParagraph"/>
        <w:numPr>
          <w:ilvl w:val="0"/>
          <w:numId w:val="3"/>
        </w:numPr>
        <w:tabs>
          <w:tab w:val="left" w:pos="384"/>
        </w:tabs>
        <w:spacing w:before="103" w:line="216" w:lineRule="exact"/>
        <w:ind w:right="138"/>
        <w:rPr>
          <w:sz w:val="18"/>
        </w:rPr>
      </w:pPr>
      <w:r w:rsidRPr="00800201">
        <w:rPr>
          <w:sz w:val="18"/>
        </w:rPr>
        <w:t>Ruel T.M, (2004). Is dietary diversity an indicator of food security or dietary quality? A review of measurement issues and research needs, FCND Discussion Paper No: 140. IFPRI.</w:t>
      </w:r>
    </w:p>
    <w:p w:rsidR="006C4FA9" w:rsidRDefault="00800201" w:rsidP="006C4FA9">
      <w:pPr>
        <w:pStyle w:val="ListParagraph"/>
        <w:numPr>
          <w:ilvl w:val="0"/>
          <w:numId w:val="3"/>
        </w:numPr>
        <w:tabs>
          <w:tab w:val="left" w:pos="384"/>
        </w:tabs>
        <w:spacing w:before="103" w:line="216" w:lineRule="exact"/>
        <w:ind w:right="138"/>
        <w:rPr>
          <w:sz w:val="18"/>
        </w:rPr>
      </w:pPr>
      <w:r w:rsidRPr="00800201">
        <w:rPr>
          <w:sz w:val="18"/>
        </w:rPr>
        <w:t xml:space="preserve">Taylor and Francis (2009) Traditional Home Gardens and Rural Livelihoods in </w:t>
      </w:r>
      <w:proofErr w:type="spellStart"/>
      <w:r w:rsidRPr="00800201">
        <w:rPr>
          <w:sz w:val="18"/>
        </w:rPr>
        <w:t>Nhema</w:t>
      </w:r>
      <w:proofErr w:type="spellEnd"/>
      <w:r w:rsidRPr="00800201">
        <w:rPr>
          <w:sz w:val="18"/>
        </w:rPr>
        <w:t>, Zimbabwe: A Sustainable Agro forestry System, Volume 16,Issue 1, 2009.</w:t>
      </w:r>
    </w:p>
    <w:p w:rsidR="006C4FA9" w:rsidRDefault="006C4FA9" w:rsidP="006C4FA9">
      <w:pPr>
        <w:pStyle w:val="ListParagraph"/>
        <w:tabs>
          <w:tab w:val="left" w:pos="384"/>
        </w:tabs>
        <w:spacing w:before="103" w:line="216" w:lineRule="exact"/>
        <w:ind w:right="138" w:firstLine="0"/>
        <w:rPr>
          <w:sz w:val="18"/>
        </w:rPr>
      </w:pPr>
    </w:p>
    <w:p w:rsidR="006C4FA9" w:rsidRPr="006C4FA9" w:rsidRDefault="006C4FA9" w:rsidP="006C4FA9">
      <w:pPr>
        <w:tabs>
          <w:tab w:val="left" w:pos="384"/>
        </w:tabs>
        <w:spacing w:before="103" w:line="216" w:lineRule="exact"/>
        <w:ind w:left="383" w:right="138"/>
        <w:rPr>
          <w:rFonts w:asciiTheme="minorHAnsi" w:eastAsia="Calibri" w:hAnsiTheme="minorHAnsi" w:cs="Calibri"/>
          <w:sz w:val="18"/>
        </w:rPr>
      </w:pPr>
      <w:r w:rsidRPr="006C4FA9">
        <w:rPr>
          <w:rFonts w:asciiTheme="minorHAnsi" w:eastAsia="Times New Roman" w:hAnsiTheme="minorHAnsi" w:cs="Times New Roman"/>
          <w:b/>
          <w:bCs/>
          <w:sz w:val="18"/>
          <w:szCs w:val="18"/>
          <w:lang w:val="en-ZA" w:eastAsia="en-ZA"/>
        </w:rPr>
        <w:t>Keywords</w:t>
      </w:r>
      <w:r w:rsidRPr="006C4FA9">
        <w:rPr>
          <w:rFonts w:asciiTheme="minorHAnsi" w:eastAsia="Times New Roman" w:hAnsiTheme="minorHAnsi" w:cs="Times New Roman"/>
          <w:sz w:val="18"/>
          <w:szCs w:val="18"/>
          <w:lang w:val="en-ZA" w:eastAsia="en-ZA"/>
        </w:rPr>
        <w:t>: Livelihoods, food security, Household Dietary Diversity Score (HDDS), Community food Garden (CFG); Household Food Security Status (HFSS)</w:t>
      </w:r>
    </w:p>
    <w:p w:rsidR="006C4FA9" w:rsidRDefault="006C4FA9">
      <w:pPr>
        <w:spacing w:line="200" w:lineRule="exact"/>
        <w:jc w:val="both"/>
        <w:rPr>
          <w:rFonts w:ascii="Calibri" w:hAnsi="Calibri"/>
        </w:rPr>
        <w:sectPr w:rsidR="006C4FA9">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800201" w:rsidRDefault="008756E6" w:rsidP="00404E5B">
      <w:pPr>
        <w:spacing w:before="92"/>
        <w:ind w:right="4234"/>
        <w:rPr>
          <w:noProof/>
          <w:lang w:val="en-ZA" w:eastAsia="en-ZA"/>
        </w:rPr>
      </w:pPr>
      <w:r>
        <w:rPr>
          <w:noProof/>
        </w:rPr>
        <w:t xml:space="preserve">    </w:t>
      </w:r>
      <w:r w:rsidR="00EF2196">
        <w:rPr>
          <w:noProof/>
          <w:lang w:val="en-ZA" w:eastAsia="en-ZA"/>
        </w:rPr>
        <w:drawing>
          <wp:inline distT="0" distB="0" distL="0" distR="0" wp14:anchorId="5A6E5954" wp14:editId="5665D071">
            <wp:extent cx="782726" cy="782726"/>
            <wp:effectExtent l="0" t="0" r="0" b="0"/>
            <wp:docPr id="2" name="Picture 2" descr="C:\Users\NkeleM.NDA.000\Pictures\11160572_1073960302619806_53862532487698780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keleM.NDA.000\Pictures\11160572_1073960302619806_5386253248769878063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685" cy="782685"/>
                    </a:xfrm>
                    <a:prstGeom prst="rect">
                      <a:avLst/>
                    </a:prstGeom>
                    <a:noFill/>
                    <a:ln>
                      <a:noFill/>
                    </a:ln>
                  </pic:spPr>
                </pic:pic>
              </a:graphicData>
            </a:graphic>
          </wp:inline>
        </w:drawing>
      </w:r>
      <w:r w:rsidR="00EF2196">
        <w:rPr>
          <w:noProof/>
        </w:rPr>
        <w:t xml:space="preserve">  </w:t>
      </w:r>
      <w:r w:rsidR="00A9710C">
        <w:rPr>
          <w:rFonts w:ascii="Arial"/>
          <w:color w:val="BF5A14"/>
        </w:rPr>
        <w:t>Biography</w:t>
      </w:r>
      <w:r w:rsidR="00404E5B">
        <w:rPr>
          <w:rFonts w:ascii="Arial"/>
          <w:color w:val="BF5A14"/>
        </w:rPr>
        <w:t xml:space="preserve"> </w:t>
      </w:r>
    </w:p>
    <w:p w:rsidR="00EF2196" w:rsidRDefault="006C4FA9" w:rsidP="006C4FA9">
      <w:pPr>
        <w:spacing w:before="62"/>
        <w:ind w:right="2752"/>
        <w:rPr>
          <w:rFonts w:ascii="Arial"/>
          <w:sz w:val="14"/>
        </w:rPr>
      </w:pPr>
      <w:r>
        <w:rPr>
          <w:rFonts w:ascii="Arial"/>
          <w:sz w:val="14"/>
        </w:rPr>
        <w:t xml:space="preserve">Ms N D Malahlela1, </w:t>
      </w:r>
      <w:r w:rsidR="007D6F30">
        <w:rPr>
          <w:rFonts w:ascii="Arial"/>
          <w:sz w:val="14"/>
        </w:rPr>
        <w:t xml:space="preserve">PhD Agricultural Economics </w:t>
      </w:r>
      <w:r>
        <w:rPr>
          <w:rFonts w:ascii="Arial"/>
          <w:sz w:val="14"/>
        </w:rPr>
        <w:t xml:space="preserve"> </w:t>
      </w:r>
      <w:r w:rsidRPr="006C4FA9">
        <w:rPr>
          <w:rFonts w:ascii="Arial"/>
          <w:sz w:val="14"/>
        </w:rPr>
        <w:t xml:space="preserve">student </w:t>
      </w:r>
      <w:r>
        <w:rPr>
          <w:rFonts w:ascii="Arial"/>
          <w:sz w:val="14"/>
        </w:rPr>
        <w:t xml:space="preserve">in the university of Fort Hare, </w:t>
      </w:r>
      <w:r w:rsidRPr="006C4FA9">
        <w:rPr>
          <w:rFonts w:ascii="Arial"/>
          <w:sz w:val="14"/>
        </w:rPr>
        <w:t>Department of Agric</w:t>
      </w:r>
      <w:r>
        <w:rPr>
          <w:rFonts w:ascii="Arial"/>
          <w:sz w:val="14"/>
        </w:rPr>
        <w:t xml:space="preserve">ultural Economics and Extension, </w:t>
      </w:r>
      <w:r w:rsidRPr="006C4FA9">
        <w:rPr>
          <w:rFonts w:ascii="Arial"/>
          <w:sz w:val="14"/>
        </w:rPr>
        <w:t>Faculty of Science and Agriculture</w:t>
      </w:r>
      <w:r>
        <w:rPr>
          <w:rFonts w:ascii="Arial"/>
          <w:sz w:val="14"/>
        </w:rPr>
        <w:t>. My study focus covers rural development food security and livelihoods.</w:t>
      </w:r>
    </w:p>
    <w:p w:rsidR="00EF2196" w:rsidRDefault="00EF2196" w:rsidP="003F175B">
      <w:pPr>
        <w:spacing w:before="62"/>
        <w:ind w:right="2752"/>
        <w:jc w:val="center"/>
        <w:rPr>
          <w:rFonts w:ascii="Arial"/>
          <w:sz w:val="14"/>
        </w:rPr>
      </w:pP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800201" w:rsidRPr="00FC348A">
          <w:rPr>
            <w:rStyle w:val="Hyperlink"/>
            <w:rFonts w:ascii="Arial"/>
            <w:sz w:val="14"/>
          </w:rPr>
          <w:t>nd0717594248@gmail.com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800201">
        <w:rPr>
          <w:rStyle w:val="Hyperlink"/>
          <w:rFonts w:ascii="Arial"/>
          <w:sz w:val="14"/>
          <w:u w:val="none"/>
        </w:rPr>
        <w:t>0717594248</w:t>
      </w:r>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FA2" w:rsidRDefault="00F24FA2">
      <w:r>
        <w:separator/>
      </w:r>
    </w:p>
  </w:endnote>
  <w:endnote w:type="continuationSeparator" w:id="0">
    <w:p w:rsidR="00F24FA2" w:rsidRDefault="00F24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FA2" w:rsidRDefault="00F24FA2">
      <w:r>
        <w:separator/>
      </w:r>
    </w:p>
  </w:footnote>
  <w:footnote w:type="continuationSeparator" w:id="0">
    <w:p w:rsidR="00F24FA2" w:rsidRDefault="00F24F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6C4FA9"/>
    <w:rsid w:val="007D6F30"/>
    <w:rsid w:val="00800201"/>
    <w:rsid w:val="00873DF0"/>
    <w:rsid w:val="008756E6"/>
    <w:rsid w:val="009B2D44"/>
    <w:rsid w:val="00A07E82"/>
    <w:rsid w:val="00A9710C"/>
    <w:rsid w:val="00AE3E37"/>
    <w:rsid w:val="00B21A57"/>
    <w:rsid w:val="00C33602"/>
    <w:rsid w:val="00CD6F55"/>
    <w:rsid w:val="00D16BA7"/>
    <w:rsid w:val="00DE3104"/>
    <w:rsid w:val="00EF2196"/>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d0717594248@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NkeleM</cp:lastModifiedBy>
  <cp:revision>3</cp:revision>
  <dcterms:created xsi:type="dcterms:W3CDTF">2017-03-16T08:25:00Z</dcterms:created>
  <dcterms:modified xsi:type="dcterms:W3CDTF">2017-03-16T08:28:00Z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