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648" w:rsidRPr="003B28F4" w:rsidRDefault="00B97648" w:rsidP="00B97648">
      <w:pPr>
        <w:pStyle w:val="Articletitle"/>
      </w:pPr>
      <w:bookmarkStart w:id="0" w:name="_Toc381541872"/>
      <w:r>
        <w:t xml:space="preserve">Rural Youth Transitions to Farming </w:t>
      </w:r>
      <w:r w:rsidRPr="003B28F4">
        <w:t>in Ethiopia: Processes and challenges</w:t>
      </w:r>
    </w:p>
    <w:p w:rsidR="00B97648" w:rsidRDefault="00B97648" w:rsidP="00B97648">
      <w:pPr>
        <w:pStyle w:val="Authornames"/>
      </w:pPr>
      <w:proofErr w:type="spellStart"/>
      <w:r w:rsidRPr="009B1F0C">
        <w:t>Getnet</w:t>
      </w:r>
      <w:proofErr w:type="spellEnd"/>
      <w:r>
        <w:t xml:space="preserve"> </w:t>
      </w:r>
      <w:proofErr w:type="spellStart"/>
      <w:r w:rsidRPr="009B1F0C">
        <w:t>Tadele</w:t>
      </w:r>
      <w:proofErr w:type="spellEnd"/>
      <w:r>
        <w:t xml:space="preserve"> </w:t>
      </w:r>
      <w:r w:rsidRPr="003661D8">
        <w:rPr>
          <w:sz w:val="24"/>
        </w:rPr>
        <w:t>(Corresponding Author)</w:t>
      </w:r>
      <w:r>
        <w:rPr>
          <w:sz w:val="24"/>
        </w:rPr>
        <w:t xml:space="preserve"> and </w:t>
      </w:r>
      <w:proofErr w:type="spellStart"/>
      <w:r>
        <w:rPr>
          <w:sz w:val="24"/>
        </w:rPr>
        <w:t>Asrat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Ayalew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Gella</w:t>
      </w:r>
      <w:proofErr w:type="spellEnd"/>
    </w:p>
    <w:p w:rsidR="00B97648" w:rsidRDefault="00B97648" w:rsidP="00B97648">
      <w:pPr>
        <w:pStyle w:val="Affiliation"/>
        <w:rPr>
          <w:lang w:val="en-US"/>
        </w:rPr>
      </w:pPr>
      <w:r w:rsidRPr="00777813">
        <w:t>Department of Sociology</w:t>
      </w:r>
      <w:r>
        <w:t>,</w:t>
      </w:r>
      <w:r w:rsidRPr="00777813">
        <w:t xml:space="preserve"> </w:t>
      </w:r>
      <w:r w:rsidRPr="00777813">
        <w:rPr>
          <w:lang w:val="en-US"/>
        </w:rPr>
        <w:t>Addis Ababa University, Ethiopia</w:t>
      </w:r>
    </w:p>
    <w:p w:rsidR="00B97648" w:rsidRDefault="00B97648" w:rsidP="00B97648">
      <w:pPr>
        <w:pStyle w:val="Heading1"/>
      </w:pPr>
      <w:bookmarkStart w:id="1" w:name="_GoBack"/>
      <w:bookmarkEnd w:id="1"/>
      <w:r w:rsidRPr="00E32F5C">
        <w:t>Abstract</w:t>
      </w:r>
      <w:bookmarkEnd w:id="0"/>
    </w:p>
    <w:p w:rsidR="00B97648" w:rsidRDefault="00B97648" w:rsidP="00B97648">
      <w:pPr>
        <w:pStyle w:val="Abstract"/>
      </w:pPr>
      <w:r w:rsidRPr="00973AF1">
        <w:t xml:space="preserve">The Ethiopian government’s </w:t>
      </w:r>
      <w:r w:rsidRPr="009C03F7">
        <w:rPr>
          <w:lang w:bidi="en-US"/>
        </w:rPr>
        <w:t>Agricultural Development Led</w:t>
      </w:r>
      <w:r w:rsidRPr="00CB70DD">
        <w:rPr>
          <w:lang w:bidi="en-US"/>
        </w:rPr>
        <w:t xml:space="preserve"> Industrialization </w:t>
      </w:r>
      <w:r w:rsidRPr="00973AF1">
        <w:t>strategy emphas</w:t>
      </w:r>
      <w:r>
        <w:t>is</w:t>
      </w:r>
      <w:r w:rsidRPr="00973AF1">
        <w:t xml:space="preserve">es the instrumental role that rural youth could play in transforming the agricultural sector. </w:t>
      </w:r>
      <w:r>
        <w:rPr>
          <w:lang w:bidi="en-US"/>
        </w:rPr>
        <w:t xml:space="preserve">However, </w:t>
      </w:r>
      <w:proofErr w:type="spellStart"/>
      <w:r>
        <w:rPr>
          <w:lang w:bidi="en-US"/>
        </w:rPr>
        <w:t>t</w:t>
      </w:r>
      <w:r w:rsidRPr="00D64223">
        <w:rPr>
          <w:lang w:bidi="en-US"/>
        </w:rPr>
        <w:t>here</w:t>
      </w:r>
      <w:r>
        <w:rPr>
          <w:lang w:bidi="en-US"/>
        </w:rPr>
        <w:t>There</w:t>
      </w:r>
      <w:proofErr w:type="spellEnd"/>
      <w:r w:rsidRPr="00D64223">
        <w:rPr>
          <w:lang w:bidi="en-US"/>
        </w:rPr>
        <w:t xml:space="preserve"> </w:t>
      </w:r>
      <w:proofErr w:type="gramStart"/>
      <w:r w:rsidRPr="00D64223">
        <w:rPr>
          <w:lang w:bidi="en-US"/>
        </w:rPr>
        <w:t>exists</w:t>
      </w:r>
      <w:proofErr w:type="gramEnd"/>
      <w:r w:rsidRPr="00D64223">
        <w:rPr>
          <w:lang w:bidi="en-US"/>
        </w:rPr>
        <w:t xml:space="preserve"> a significant body of literature documenting the unfavourable attitudes many young people hold towards a future in agriculture.</w:t>
      </w:r>
      <w:r>
        <w:rPr>
          <w:lang w:bidi="en-US"/>
        </w:rPr>
        <w:t xml:space="preserve"> In addition to their unfavourable attitudes to farming, r</w:t>
      </w:r>
      <w:r w:rsidRPr="00367724">
        <w:rPr>
          <w:lang w:bidi="en-US"/>
        </w:rPr>
        <w:t xml:space="preserve">ural youth </w:t>
      </w:r>
      <w:r>
        <w:rPr>
          <w:lang w:bidi="en-US"/>
        </w:rPr>
        <w:t xml:space="preserve">also </w:t>
      </w:r>
      <w:r w:rsidRPr="00367724">
        <w:rPr>
          <w:lang w:bidi="en-US"/>
        </w:rPr>
        <w:t xml:space="preserve">encounter a number of insurmountable </w:t>
      </w:r>
      <w:r>
        <w:rPr>
          <w:lang w:bidi="en-US"/>
        </w:rPr>
        <w:t>challenges</w:t>
      </w:r>
      <w:r w:rsidRPr="00367724">
        <w:rPr>
          <w:lang w:bidi="en-US"/>
        </w:rPr>
        <w:t xml:space="preserve"> </w:t>
      </w:r>
      <w:r>
        <w:rPr>
          <w:lang w:bidi="en-US"/>
        </w:rPr>
        <w:t xml:space="preserve">on the road to becoming a farmer even when they are willing to be one. </w:t>
      </w:r>
      <w:r w:rsidRPr="007C462D">
        <w:t>Drawing</w:t>
      </w:r>
      <w:r>
        <w:t xml:space="preserve"> </w:t>
      </w:r>
      <w:r w:rsidRPr="007C462D">
        <w:t>from</w:t>
      </w:r>
      <w:r>
        <w:t xml:space="preserve"> </w:t>
      </w:r>
      <w:r w:rsidRPr="007C462D">
        <w:t>two different qualitative studies of rural youth in three farming communities in</w:t>
      </w:r>
      <w:r>
        <w:t xml:space="preserve"> Ethiopia</w:t>
      </w:r>
      <w:r w:rsidRPr="007C462D">
        <w:t xml:space="preserve">, this paper explores the processes through which rural youth </w:t>
      </w:r>
      <w:r>
        <w:t xml:space="preserve">transition to </w:t>
      </w:r>
      <w:proofErr w:type="spellStart"/>
      <w:r>
        <w:t>farmerhood</w:t>
      </w:r>
      <w:proofErr w:type="spellEnd"/>
      <w:r w:rsidRPr="007C462D">
        <w:t xml:space="preserve"> and the challenges and opportunities they come across in </w:t>
      </w:r>
      <w:r>
        <w:t>the process</w:t>
      </w:r>
      <w:r w:rsidRPr="007C462D">
        <w:t xml:space="preserve">. </w:t>
      </w:r>
      <w:r>
        <w:t>While our</w:t>
      </w:r>
      <w:r w:rsidRPr="007C462D">
        <w:t xml:space="preserve"> findings </w:t>
      </w:r>
      <w:r>
        <w:t>indicate</w:t>
      </w:r>
      <w:r w:rsidRPr="007C462D">
        <w:t xml:space="preserve"> that education, access to land</w:t>
      </w:r>
      <w:r>
        <w:t xml:space="preserve"> and other</w:t>
      </w:r>
      <w:r w:rsidRPr="007C462D">
        <w:t xml:space="preserve"> asset</w:t>
      </w:r>
      <w:r>
        <w:t>s</w:t>
      </w:r>
      <w:r w:rsidRPr="007C462D">
        <w:t>, gender</w:t>
      </w:r>
      <w:r>
        <w:t>,</w:t>
      </w:r>
      <w:r w:rsidRPr="007C462D">
        <w:t xml:space="preserve"> and local context are </w:t>
      </w:r>
      <w:r>
        <w:t xml:space="preserve">all </w:t>
      </w:r>
      <w:r w:rsidRPr="007C462D">
        <w:t xml:space="preserve">factors </w:t>
      </w:r>
      <w:r>
        <w:t>that</w:t>
      </w:r>
      <w:r w:rsidRPr="007C462D">
        <w:t xml:space="preserve"> influence who becomes a farmer and who does not</w:t>
      </w:r>
      <w:r>
        <w:t>; we</w:t>
      </w:r>
      <w:r w:rsidRPr="007C462D">
        <w:t xml:space="preserve"> particularly draw attention to education and gender</w:t>
      </w:r>
      <w:r>
        <w:t xml:space="preserve"> as two factors whose impact has not been adequately acknowledged thus far</w:t>
      </w:r>
      <w:r w:rsidRPr="007C462D">
        <w:t>.</w:t>
      </w:r>
      <w:r>
        <w:t xml:space="preserve"> We argue that</w:t>
      </w:r>
      <w:r w:rsidRPr="007C462D">
        <w:t xml:space="preserve"> being educated</w:t>
      </w:r>
      <w:r>
        <w:t xml:space="preserve"> not only reduces </w:t>
      </w:r>
      <w:r w:rsidRPr="007C462D">
        <w:t>the desirability of a future in farming</w:t>
      </w:r>
      <w:r>
        <w:t xml:space="preserve"> for rural youth but also considerably </w:t>
      </w:r>
      <w:r w:rsidRPr="007C462D">
        <w:t>complicat</w:t>
      </w:r>
      <w:r>
        <w:t>es</w:t>
      </w:r>
      <w:r w:rsidRPr="007C462D">
        <w:t xml:space="preserve"> later entry into farming</w:t>
      </w:r>
      <w:r>
        <w:t xml:space="preserve">. Gender is also an important factor in that the choice of becoming a farmer is not the same for young women and men. Not only </w:t>
      </w:r>
      <w:proofErr w:type="gramStart"/>
      <w:r>
        <w:t>that, women and men take</w:t>
      </w:r>
      <w:proofErr w:type="gramEnd"/>
      <w:r>
        <w:t xml:space="preserve"> drastically different </w:t>
      </w:r>
      <w:r w:rsidRPr="007C462D">
        <w:t>route</w:t>
      </w:r>
      <w:r>
        <w:t>s</w:t>
      </w:r>
      <w:r w:rsidRPr="007C462D">
        <w:t xml:space="preserve"> </w:t>
      </w:r>
      <w:r>
        <w:t xml:space="preserve">to becoming </w:t>
      </w:r>
      <w:r w:rsidRPr="007C462D">
        <w:t>farmer</w:t>
      </w:r>
      <w:r>
        <w:t xml:space="preserve">s and live out different lives as farmers. We conclude that  </w:t>
      </w:r>
      <w:r w:rsidRPr="003E67D7">
        <w:t>education and the predominance of the urban, no</w:t>
      </w:r>
      <w:r>
        <w:t>n-</w:t>
      </w:r>
      <w:r w:rsidRPr="003E67D7">
        <w:t xml:space="preserve">agrarian </w:t>
      </w:r>
      <w:r>
        <w:t xml:space="preserve">way of </w:t>
      </w:r>
      <w:r w:rsidRPr="003E67D7">
        <w:t xml:space="preserve">life in the imagined futures of </w:t>
      </w:r>
      <w:r>
        <w:t>rural youth</w:t>
      </w:r>
      <w:r w:rsidRPr="003E67D7">
        <w:t xml:space="preserve">, as well as the many obstacles </w:t>
      </w:r>
      <w:r>
        <w:t>most rural youth face</w:t>
      </w:r>
      <w:r w:rsidRPr="003E67D7">
        <w:t xml:space="preserve"> on the way to be</w:t>
      </w:r>
      <w:r>
        <w:t>coming</w:t>
      </w:r>
      <w:r w:rsidRPr="003E67D7">
        <w:t xml:space="preserve"> a farmer </w:t>
      </w:r>
      <w:r>
        <w:t>are making the</w:t>
      </w:r>
      <w:r w:rsidRPr="003E67D7">
        <w:t xml:space="preserve"> transition in to adulthood and farming a lengthier</w:t>
      </w:r>
      <w:r>
        <w:t xml:space="preserve"> and </w:t>
      </w:r>
      <w:r w:rsidRPr="003E67D7">
        <w:t xml:space="preserve">complicated process. But at the same time, young people are not </w:t>
      </w:r>
      <w:r>
        <w:t xml:space="preserve">in a passive state of </w:t>
      </w:r>
      <w:proofErr w:type="spellStart"/>
      <w:r>
        <w:t>waithood</w:t>
      </w:r>
      <w:proofErr w:type="spellEnd"/>
      <w:r>
        <w:t xml:space="preserve"> as is often argued in much of the existing literature. Instead, </w:t>
      </w:r>
      <w:r w:rsidRPr="003E67D7">
        <w:t xml:space="preserve">they try to make the best of a bad situation by entering in to farming in circumstances they perceive as far from ideal </w:t>
      </w:r>
      <w:r>
        <w:t xml:space="preserve">while still maintaining </w:t>
      </w:r>
      <w:r w:rsidRPr="003E67D7">
        <w:t>their hopes of achieving their long term aspirations</w:t>
      </w:r>
      <w:r>
        <w:t xml:space="preserve">. </w:t>
      </w:r>
      <w:r w:rsidRPr="007C462D">
        <w:t xml:space="preserve"> </w:t>
      </w:r>
    </w:p>
    <w:p w:rsidR="00B97648" w:rsidRPr="006C5959" w:rsidRDefault="00B97648" w:rsidP="00B97648">
      <w:pPr>
        <w:pStyle w:val="Keywords"/>
        <w:rPr>
          <w:b/>
        </w:rPr>
      </w:pPr>
      <w:r w:rsidRPr="006C5959">
        <w:rPr>
          <w:b/>
        </w:rPr>
        <w:t xml:space="preserve">Keywords: </w:t>
      </w:r>
      <w:r w:rsidRPr="006C5959">
        <w:t>rural youth, farming, agriculture, youth transitions, gender, Ethiopia</w:t>
      </w:r>
    </w:p>
    <w:p w:rsidR="007B0FC3" w:rsidRDefault="007B0FC3"/>
    <w:sectPr w:rsidR="007B0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648" w:rsidRDefault="00B97648" w:rsidP="00B97648">
      <w:pPr>
        <w:spacing w:after="0" w:line="240" w:lineRule="auto"/>
      </w:pPr>
      <w:r>
        <w:separator/>
      </w:r>
    </w:p>
  </w:endnote>
  <w:endnote w:type="continuationSeparator" w:id="0">
    <w:p w:rsidR="00B97648" w:rsidRDefault="00B97648" w:rsidP="00B97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648" w:rsidRDefault="00B97648" w:rsidP="00B97648">
      <w:pPr>
        <w:spacing w:after="0" w:line="240" w:lineRule="auto"/>
      </w:pPr>
      <w:r>
        <w:separator/>
      </w:r>
    </w:p>
  </w:footnote>
  <w:footnote w:type="continuationSeparator" w:id="0">
    <w:p w:rsidR="00B97648" w:rsidRDefault="00B97648" w:rsidP="00B97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648"/>
    <w:rsid w:val="007B0FC3"/>
    <w:rsid w:val="00B9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97648"/>
    <w:pPr>
      <w:keepNext/>
      <w:spacing w:before="360" w:after="60" w:line="360" w:lineRule="auto"/>
      <w:ind w:right="567"/>
      <w:contextualSpacing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7648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paragraph" w:customStyle="1" w:styleId="Abstract">
    <w:name w:val="Abstract"/>
    <w:basedOn w:val="Normal"/>
    <w:next w:val="Keywords"/>
    <w:qFormat/>
    <w:rsid w:val="00B97648"/>
    <w:pPr>
      <w:spacing w:before="360" w:after="300" w:line="360" w:lineRule="auto"/>
      <w:ind w:left="720" w:right="567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Keywords">
    <w:name w:val="Keywords"/>
    <w:basedOn w:val="Normal"/>
    <w:next w:val="Normal"/>
    <w:qFormat/>
    <w:rsid w:val="00B97648"/>
    <w:pPr>
      <w:spacing w:before="240" w:after="240" w:line="360" w:lineRule="auto"/>
      <w:ind w:left="720" w:right="567"/>
    </w:pPr>
    <w:rPr>
      <w:rFonts w:ascii="Times New Roman" w:eastAsia="Times New Roman" w:hAnsi="Times New Roman" w:cs="Times New Roman"/>
      <w:szCs w:val="24"/>
      <w:lang w:val="en-GB" w:eastAsia="en-GB"/>
    </w:rPr>
  </w:style>
  <w:style w:type="character" w:styleId="FootnoteReference">
    <w:name w:val="footnote reference"/>
    <w:basedOn w:val="DefaultParagraphFont"/>
    <w:rsid w:val="00B97648"/>
    <w:rPr>
      <w:vertAlign w:val="superscript"/>
    </w:rPr>
  </w:style>
  <w:style w:type="paragraph" w:customStyle="1" w:styleId="Articletitle">
    <w:name w:val="Article title"/>
    <w:basedOn w:val="Normal"/>
    <w:next w:val="Normal"/>
    <w:qFormat/>
    <w:rsid w:val="00B97648"/>
    <w:pPr>
      <w:spacing w:after="120" w:line="360" w:lineRule="auto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B97648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B97648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B97648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otesoncontributors">
    <w:name w:val="Notes on contributors"/>
    <w:basedOn w:val="Normal"/>
    <w:qFormat/>
    <w:rsid w:val="00B97648"/>
    <w:pPr>
      <w:spacing w:before="240" w:after="0" w:line="360" w:lineRule="auto"/>
    </w:pPr>
    <w:rPr>
      <w:rFonts w:ascii="Times New Roman" w:eastAsia="Times New Roman" w:hAnsi="Times New Roman" w:cs="Times New Roman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97648"/>
    <w:pPr>
      <w:keepNext/>
      <w:spacing w:before="360" w:after="60" w:line="360" w:lineRule="auto"/>
      <w:ind w:right="567"/>
      <w:contextualSpacing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7648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paragraph" w:customStyle="1" w:styleId="Abstract">
    <w:name w:val="Abstract"/>
    <w:basedOn w:val="Normal"/>
    <w:next w:val="Keywords"/>
    <w:qFormat/>
    <w:rsid w:val="00B97648"/>
    <w:pPr>
      <w:spacing w:before="360" w:after="300" w:line="360" w:lineRule="auto"/>
      <w:ind w:left="720" w:right="567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Keywords">
    <w:name w:val="Keywords"/>
    <w:basedOn w:val="Normal"/>
    <w:next w:val="Normal"/>
    <w:qFormat/>
    <w:rsid w:val="00B97648"/>
    <w:pPr>
      <w:spacing w:before="240" w:after="240" w:line="360" w:lineRule="auto"/>
      <w:ind w:left="720" w:right="567"/>
    </w:pPr>
    <w:rPr>
      <w:rFonts w:ascii="Times New Roman" w:eastAsia="Times New Roman" w:hAnsi="Times New Roman" w:cs="Times New Roman"/>
      <w:szCs w:val="24"/>
      <w:lang w:val="en-GB" w:eastAsia="en-GB"/>
    </w:rPr>
  </w:style>
  <w:style w:type="character" w:styleId="FootnoteReference">
    <w:name w:val="footnote reference"/>
    <w:basedOn w:val="DefaultParagraphFont"/>
    <w:rsid w:val="00B97648"/>
    <w:rPr>
      <w:vertAlign w:val="superscript"/>
    </w:rPr>
  </w:style>
  <w:style w:type="paragraph" w:customStyle="1" w:styleId="Articletitle">
    <w:name w:val="Article title"/>
    <w:basedOn w:val="Normal"/>
    <w:next w:val="Normal"/>
    <w:qFormat/>
    <w:rsid w:val="00B97648"/>
    <w:pPr>
      <w:spacing w:after="120" w:line="360" w:lineRule="auto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B97648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B97648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B97648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otesoncontributors">
    <w:name w:val="Notes on contributors"/>
    <w:basedOn w:val="Normal"/>
    <w:qFormat/>
    <w:rsid w:val="00B97648"/>
    <w:pPr>
      <w:spacing w:before="240" w:after="0" w:line="360" w:lineRule="auto"/>
    </w:pPr>
    <w:rPr>
      <w:rFonts w:ascii="Times New Roman" w:eastAsia="Times New Roman" w:hAnsi="Times New Roman" w:cs="Times New Roman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2017-03-03T13:52:00Z</dcterms:created>
  <dcterms:modified xsi:type="dcterms:W3CDTF">2017-03-03T13:54:00Z</dcterms:modified>
</cp:coreProperties>
</file>