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A90" w:rsidRPr="00F07A90" w:rsidRDefault="00F07A90" w:rsidP="00F07A90">
      <w:pPr>
        <w:pStyle w:val="BodyText"/>
        <w:jc w:val="center"/>
        <w:rPr>
          <w:rFonts w:ascii="Minion Pro" w:eastAsia="Minion Pro" w:hAnsi="Minion Pro" w:cs="Minion Pro"/>
          <w:b/>
          <w:bCs/>
          <w:color w:val="337AB7"/>
          <w:sz w:val="36"/>
          <w:szCs w:val="36"/>
        </w:rPr>
      </w:pPr>
      <w:r w:rsidRPr="00F07A90">
        <w:rPr>
          <w:rFonts w:ascii="Minion Pro" w:eastAsia="Minion Pro" w:hAnsi="Minion Pro" w:cs="Minion Pro"/>
          <w:b/>
          <w:bCs/>
          <w:color w:val="337AB7"/>
          <w:sz w:val="36"/>
          <w:szCs w:val="36"/>
        </w:rPr>
        <w:t>Social capital and agricultural technology adoption among Ethiopian farmers</w:t>
      </w:r>
    </w:p>
    <w:p w:rsidR="00F07A90" w:rsidRPr="00F07A90" w:rsidRDefault="00F07A90" w:rsidP="00F07A90">
      <w:pPr>
        <w:pStyle w:val="BodyText"/>
        <w:rPr>
          <w:rFonts w:ascii="Minion Pro" w:eastAsia="Minion Pro" w:hAnsi="Minion Pro" w:cs="Minion Pro"/>
          <w:bCs/>
          <w:color w:val="337AB7"/>
          <w:sz w:val="24"/>
          <w:szCs w:val="24"/>
        </w:rPr>
      </w:pPr>
      <w:r w:rsidRPr="00F07A90">
        <w:rPr>
          <w:rFonts w:ascii="Minion Pro" w:eastAsia="Minion Pro" w:hAnsi="Minion Pro" w:cs="Minion Pro"/>
          <w:bCs/>
          <w:color w:val="337AB7"/>
          <w:sz w:val="24"/>
          <w:szCs w:val="24"/>
        </w:rPr>
        <w:t>Nizam A. Husen</w:t>
      </w:r>
      <w:r w:rsidRPr="00F07A90">
        <w:rPr>
          <w:rFonts w:ascii="Minion Pro" w:eastAsia="Minion Pro" w:hAnsi="Minion Pro" w:cs="Minion Pro"/>
          <w:bCs/>
          <w:color w:val="337AB7"/>
          <w:sz w:val="24"/>
          <w:szCs w:val="24"/>
          <w:vertAlign w:val="superscript"/>
        </w:rPr>
        <w:t>1</w:t>
      </w:r>
      <w:r w:rsidRPr="00F07A90">
        <w:rPr>
          <w:rFonts w:ascii="Minion Pro" w:eastAsia="Minion Pro" w:hAnsi="Minion Pro" w:cs="Minion Pro"/>
          <w:bCs/>
          <w:color w:val="337AB7"/>
          <w:sz w:val="24"/>
          <w:szCs w:val="24"/>
        </w:rPr>
        <w:t>, Tim K.</w:t>
      </w:r>
      <w:r>
        <w:rPr>
          <w:rFonts w:ascii="Minion Pro" w:eastAsia="Minion Pro" w:hAnsi="Minion Pro" w:cs="Minion Pro"/>
          <w:bCs/>
          <w:color w:val="337AB7"/>
          <w:sz w:val="24"/>
          <w:szCs w:val="24"/>
        </w:rPr>
        <w:t xml:space="preserve"> Loos</w:t>
      </w:r>
      <w:r w:rsidRPr="00F07A90">
        <w:rPr>
          <w:rFonts w:ascii="Minion Pro" w:eastAsia="Minion Pro" w:hAnsi="Minion Pro" w:cs="Minion Pro"/>
          <w:bCs/>
          <w:color w:val="337AB7"/>
          <w:sz w:val="24"/>
          <w:szCs w:val="24"/>
          <w:vertAlign w:val="superscript"/>
        </w:rPr>
        <w:t>1</w:t>
      </w:r>
      <w:r>
        <w:rPr>
          <w:rFonts w:ascii="Minion Pro" w:eastAsia="Minion Pro" w:hAnsi="Minion Pro" w:cs="Minion Pro"/>
          <w:bCs/>
          <w:color w:val="337AB7"/>
          <w:sz w:val="24"/>
          <w:szCs w:val="24"/>
        </w:rPr>
        <w:t xml:space="preserve"> and Khalid H. A. Siddig</w:t>
      </w:r>
      <w:r w:rsidRPr="00F07A90">
        <w:rPr>
          <w:rFonts w:ascii="Minion Pro" w:eastAsia="Minion Pro" w:hAnsi="Minion Pro" w:cs="Minion Pro"/>
          <w:bCs/>
          <w:color w:val="337AB7"/>
          <w:sz w:val="24"/>
          <w:szCs w:val="24"/>
          <w:vertAlign w:val="superscript"/>
        </w:rPr>
        <w:t>1</w:t>
      </w:r>
      <w:proofErr w:type="gramStart"/>
      <w:r w:rsidRPr="00F07A90">
        <w:rPr>
          <w:rFonts w:ascii="Minion Pro" w:eastAsia="Minion Pro" w:hAnsi="Minion Pro" w:cs="Minion Pro"/>
          <w:bCs/>
          <w:color w:val="337AB7"/>
          <w:sz w:val="24"/>
          <w:szCs w:val="24"/>
          <w:vertAlign w:val="superscript"/>
        </w:rPr>
        <w:t>,</w:t>
      </w:r>
      <w:r w:rsidRPr="00F07A90">
        <w:rPr>
          <w:rFonts w:ascii="Minion Pro" w:eastAsia="Minion Pro" w:hAnsi="Minion Pro" w:cs="Minion Pro"/>
          <w:bCs/>
          <w:color w:val="337AB7"/>
          <w:sz w:val="24"/>
          <w:szCs w:val="24"/>
          <w:vertAlign w:val="superscript"/>
        </w:rPr>
        <w:t>2</w:t>
      </w:r>
      <w:proofErr w:type="gramEnd"/>
      <w:r w:rsidRPr="00F07A90">
        <w:rPr>
          <w:rFonts w:ascii="Minion Pro" w:eastAsia="Minion Pro" w:hAnsi="Minion Pro" w:cs="Minion Pro"/>
          <w:bCs/>
          <w:color w:val="337AB7"/>
          <w:sz w:val="24"/>
          <w:szCs w:val="24"/>
          <w:vertAlign w:val="superscript"/>
        </w:rPr>
        <w:t xml:space="preserve"> </w:t>
      </w:r>
    </w:p>
    <w:p w:rsidR="00F07A90" w:rsidRPr="00F07A90" w:rsidRDefault="00F07A90" w:rsidP="00F07A90">
      <w:pPr>
        <w:pStyle w:val="BodyText"/>
        <w:rPr>
          <w:rFonts w:ascii="Minion Pro" w:eastAsia="Minion Pro" w:hAnsi="Minion Pro" w:cs="Minion Pro"/>
          <w:bCs/>
          <w:color w:val="337AB7"/>
          <w:sz w:val="24"/>
          <w:szCs w:val="24"/>
        </w:rPr>
      </w:pPr>
      <w:r w:rsidRPr="00F07A90">
        <w:rPr>
          <w:rFonts w:ascii="Minion Pro" w:eastAsia="Minion Pro" w:hAnsi="Minion Pro" w:cs="Minion Pro"/>
          <w:bCs/>
          <w:color w:val="337AB7"/>
          <w:sz w:val="24"/>
          <w:szCs w:val="24"/>
          <w:vertAlign w:val="superscript"/>
        </w:rPr>
        <w:t>1</w:t>
      </w:r>
      <w:r w:rsidRPr="00F07A90">
        <w:rPr>
          <w:rFonts w:ascii="Minion Pro" w:eastAsia="Minion Pro" w:hAnsi="Minion Pro" w:cs="Minion Pro"/>
          <w:bCs/>
          <w:color w:val="337AB7"/>
          <w:sz w:val="24"/>
          <w:szCs w:val="24"/>
        </w:rPr>
        <w:t xml:space="preserve">University of Hohenheim, Stuttgart, Germany </w:t>
      </w:r>
    </w:p>
    <w:p w:rsidR="00AE3E37" w:rsidRPr="00F07A90" w:rsidRDefault="00F07A90" w:rsidP="00F07A90">
      <w:pPr>
        <w:pStyle w:val="BodyText"/>
        <w:rPr>
          <w:rFonts w:ascii="Arial"/>
          <w:sz w:val="24"/>
          <w:szCs w:val="24"/>
        </w:rPr>
      </w:pPr>
      <w:r w:rsidRPr="00F07A90">
        <w:rPr>
          <w:rFonts w:ascii="Minion Pro" w:eastAsia="Minion Pro" w:hAnsi="Minion Pro" w:cs="Minion Pro"/>
          <w:bCs/>
          <w:color w:val="337AB7"/>
          <w:sz w:val="24"/>
          <w:szCs w:val="24"/>
          <w:vertAlign w:val="superscript"/>
        </w:rPr>
        <w:t>2</w:t>
      </w:r>
      <w:r w:rsidRPr="00F07A90">
        <w:rPr>
          <w:rFonts w:ascii="Minion Pro" w:eastAsia="Minion Pro" w:hAnsi="Minion Pro" w:cs="Minion Pro"/>
          <w:bCs/>
          <w:color w:val="337AB7"/>
          <w:sz w:val="24"/>
          <w:szCs w:val="24"/>
        </w:rPr>
        <w:t>Humboldt University of Berlin, Germany and Khartoum University, the Sudan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F07A90" w:rsidP="00F07A90">
      <w:pPr>
        <w:pStyle w:val="Heading3"/>
        <w:spacing w:before="74"/>
        <w:jc w:val="both"/>
      </w:pPr>
      <w:r w:rsidRPr="00F07A90">
        <w:rPr>
          <w:b w:val="0"/>
        </w:rPr>
        <w:t>Despite the recent efforts to increase agricultural productivity in Ethiopia, food insecurity remains a major challenge in the country. Improving smallholders´ productivity requires the adoption of suitable agricultural technologies and practices. Previous researches highlighted the importance of socio-economic factors; but widely overlooked the role of social capital in technology adoption and its potential to create collective actions, reduce transaction costs, relax supply side constraints, and disseminate information. Using socio-economic data of 398 farming households, we assessed social capital, using a probit model, as a determinant for soil and water conservation practices (SWC) such as terraces, bunds and agro-forestry as well as adopting productivity enhancing technologies (PET) such as fertilizers and improved high yielding seed varieties. We found that members of Iddir (informal funeral group) were more likely to adopt SWC (18.2%). For the case of PET, Iddir members were 12.8% less likely to adopt. Being members of Jarsumma (informal conflict resolution) increased the likelihood of SWC and PET adoption by 12.87% and 17.8%, respectively. Therefore, we recommend that technology transfer should consider the different types of social capital as an alternative policy option to the prevailing top down approaches in order to improve smallholder livelihoods</w:t>
      </w:r>
      <w:r>
        <w:rPr>
          <w:b w:val="0"/>
        </w:rPr>
        <w:t>.</w:t>
      </w:r>
      <w:r w:rsidR="00A9710C">
        <w:rPr>
          <w:b w:val="0"/>
        </w:rPr>
        <w:br w:type="column"/>
      </w:r>
      <w:r w:rsidR="00A9710C">
        <w:rPr>
          <w:color w:val="BF5A14"/>
        </w:rPr>
        <w:lastRenderedPageBreak/>
        <w:t>Image</w:t>
      </w:r>
    </w:p>
    <w:p w:rsidR="00AE3E37" w:rsidRDefault="00AE3E37">
      <w:pPr>
        <w:pStyle w:val="BodyText"/>
        <w:spacing w:before="2"/>
        <w:rPr>
          <w:rFonts w:ascii="Arial"/>
          <w:b/>
          <w:sz w:val="16"/>
        </w:rPr>
      </w:pPr>
    </w:p>
    <w:p w:rsidR="00F07A90" w:rsidRPr="00F07A90" w:rsidRDefault="00F07A90" w:rsidP="00F07A90">
      <w:pPr>
        <w:spacing w:line="204" w:lineRule="exact"/>
        <w:jc w:val="center"/>
        <w:rPr>
          <w:rFonts w:ascii="Arial" w:hAnsi="Arial" w:cs="Arial"/>
          <w:b/>
          <w:color w:val="BF5A14"/>
          <w:sz w:val="20"/>
        </w:rPr>
      </w:pPr>
      <w:r w:rsidRPr="00F07A90">
        <w:rPr>
          <w:rFonts w:ascii="Arial" w:hAnsi="Arial" w:cs="Arial"/>
          <w:b/>
          <w:noProof/>
          <w:sz w:val="16"/>
          <w:lang w:val="de-DE" w:eastAsia="de-DE"/>
        </w:rPr>
        <w:pict w14:anchorId="7DCA3D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s1026" type="#_x0000_t75" style="position:absolute;left:0;text-align:left;margin-left:29.7pt;margin-top:22.5pt;width:227.15pt;height:112.9pt;z-index:251658240;visibility:visible">
            <v:imagedata r:id="rId10" o:title=""/>
          </v:shape>
          <o:OLEObject Type="Embed" ProgID="PowerPoint.Slide.12" ShapeID="Object 1" DrawAspect="Content" ObjectID="_1539959391" r:id="rId11"/>
        </w:pict>
      </w:r>
      <w:r w:rsidRPr="00F07A90">
        <w:rPr>
          <w:rFonts w:ascii="Arial" w:hAnsi="Arial" w:cs="Arial"/>
          <w:sz w:val="24"/>
          <w:lang w:val="en-GB"/>
        </w:rPr>
        <w:t>S</w:t>
      </w:r>
      <w:r w:rsidRPr="00F07A90">
        <w:rPr>
          <w:rFonts w:ascii="Arial" w:hAnsi="Arial" w:cs="Arial"/>
          <w:sz w:val="24"/>
          <w:lang w:val="en-GB"/>
        </w:rPr>
        <w:t xml:space="preserve">ocial capital </w:t>
      </w:r>
      <w:r w:rsidRPr="00F07A90">
        <w:rPr>
          <w:rFonts w:ascii="Arial" w:hAnsi="Arial" w:cs="Arial"/>
          <w:sz w:val="24"/>
          <w:lang w:val="en-GB"/>
        </w:rPr>
        <w:t>and agricultural technology adoption framework</w:t>
      </w:r>
      <w:r w:rsidR="005973B9" w:rsidRPr="00F07A90">
        <w:rPr>
          <w:rFonts w:ascii="Arial" w:hAnsi="Arial" w:cs="Arial"/>
          <w:b/>
          <w:color w:val="BF5A14"/>
          <w:sz w:val="20"/>
        </w:rPr>
        <w:br/>
      </w:r>
    </w:p>
    <w:p w:rsidR="00F07A90" w:rsidRDefault="00F07A90" w:rsidP="005973B9">
      <w:pPr>
        <w:spacing w:line="204" w:lineRule="exact"/>
        <w:rPr>
          <w:rFonts w:ascii="Arial"/>
          <w:b/>
          <w:color w:val="BF5A14"/>
          <w:sz w:val="20"/>
        </w:rPr>
      </w:pPr>
    </w:p>
    <w:p w:rsidR="00F07A90" w:rsidRDefault="00F07A90" w:rsidP="005973B9">
      <w:pPr>
        <w:spacing w:line="204" w:lineRule="exact"/>
        <w:rPr>
          <w:rFonts w:ascii="Arial"/>
          <w:b/>
          <w:color w:val="BF5A14"/>
          <w:sz w:val="20"/>
        </w:rPr>
      </w:pPr>
    </w:p>
    <w:p w:rsidR="00F07A90" w:rsidRDefault="00F07A90" w:rsidP="005973B9">
      <w:pPr>
        <w:spacing w:line="204" w:lineRule="exact"/>
        <w:rPr>
          <w:rFonts w:ascii="Arial"/>
          <w:b/>
          <w:color w:val="BF5A14"/>
          <w:sz w:val="20"/>
        </w:rPr>
      </w:pPr>
    </w:p>
    <w:p w:rsidR="00F07A90" w:rsidRDefault="00F07A90" w:rsidP="005973B9">
      <w:pPr>
        <w:spacing w:line="204" w:lineRule="exact"/>
        <w:rPr>
          <w:rFonts w:ascii="Arial"/>
          <w:b/>
          <w:color w:val="BF5A14"/>
          <w:sz w:val="20"/>
        </w:rPr>
      </w:pPr>
    </w:p>
    <w:p w:rsidR="00F07A90" w:rsidRDefault="00F07A90" w:rsidP="005973B9">
      <w:pPr>
        <w:spacing w:line="204" w:lineRule="exact"/>
        <w:rPr>
          <w:rFonts w:ascii="Arial"/>
          <w:b/>
          <w:color w:val="BF5A14"/>
          <w:sz w:val="20"/>
        </w:rPr>
      </w:pPr>
    </w:p>
    <w:p w:rsidR="00F07A90" w:rsidRDefault="00F07A90" w:rsidP="005973B9">
      <w:pPr>
        <w:spacing w:line="204" w:lineRule="exact"/>
        <w:rPr>
          <w:rFonts w:ascii="Arial"/>
          <w:b/>
          <w:color w:val="BF5A14"/>
          <w:sz w:val="20"/>
        </w:rPr>
      </w:pPr>
    </w:p>
    <w:p w:rsidR="00F07A90" w:rsidRDefault="00F07A90" w:rsidP="005973B9">
      <w:pPr>
        <w:spacing w:line="204" w:lineRule="exact"/>
        <w:rPr>
          <w:rFonts w:ascii="Arial"/>
          <w:b/>
          <w:color w:val="BF5A14"/>
          <w:sz w:val="20"/>
        </w:rPr>
      </w:pPr>
    </w:p>
    <w:p w:rsidR="00F07A90" w:rsidRDefault="00F07A90" w:rsidP="005973B9">
      <w:pPr>
        <w:spacing w:line="204" w:lineRule="exact"/>
        <w:rPr>
          <w:rFonts w:ascii="Arial"/>
          <w:b/>
          <w:color w:val="BF5A14"/>
          <w:sz w:val="20"/>
        </w:rPr>
      </w:pPr>
    </w:p>
    <w:p w:rsidR="00F07A90" w:rsidRDefault="00F07A90" w:rsidP="005973B9">
      <w:pPr>
        <w:spacing w:line="204" w:lineRule="exact"/>
        <w:rPr>
          <w:rFonts w:ascii="Arial"/>
          <w:b/>
          <w:color w:val="BF5A14"/>
          <w:sz w:val="20"/>
        </w:rPr>
      </w:pPr>
    </w:p>
    <w:p w:rsidR="00F07A90" w:rsidRDefault="00F07A90" w:rsidP="005973B9">
      <w:pPr>
        <w:spacing w:line="204" w:lineRule="exact"/>
        <w:rPr>
          <w:rFonts w:ascii="Arial"/>
          <w:b/>
          <w:color w:val="BF5A14"/>
          <w:sz w:val="20"/>
        </w:rPr>
      </w:pPr>
    </w:p>
    <w:p w:rsidR="00F07A90" w:rsidRDefault="00F07A90" w:rsidP="005973B9">
      <w:pPr>
        <w:spacing w:line="204" w:lineRule="exact"/>
        <w:rPr>
          <w:rFonts w:ascii="Arial"/>
          <w:b/>
          <w:color w:val="BF5A14"/>
          <w:sz w:val="20"/>
        </w:rPr>
      </w:pPr>
    </w:p>
    <w:p w:rsidR="00F07A90" w:rsidRDefault="00F07A90" w:rsidP="005973B9">
      <w:pPr>
        <w:spacing w:line="204" w:lineRule="exact"/>
        <w:rPr>
          <w:rFonts w:ascii="Arial"/>
          <w:b/>
          <w:color w:val="BF5A14"/>
          <w:sz w:val="20"/>
        </w:rPr>
      </w:pPr>
    </w:p>
    <w:p w:rsidR="00F07A90" w:rsidRDefault="00F07A90"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AF127F" w:rsidRDefault="00AF127F" w:rsidP="00AF127F">
      <w:pPr>
        <w:pStyle w:val="ListParagraph"/>
        <w:numPr>
          <w:ilvl w:val="0"/>
          <w:numId w:val="4"/>
        </w:numPr>
        <w:rPr>
          <w:sz w:val="18"/>
        </w:rPr>
      </w:pPr>
      <w:r w:rsidRPr="00AF127F">
        <w:rPr>
          <w:sz w:val="18"/>
        </w:rPr>
        <w:t xml:space="preserve">Value chain development </w:t>
      </w:r>
      <w:proofErr w:type="spellStart"/>
      <w:r w:rsidRPr="00AF127F">
        <w:rPr>
          <w:sz w:val="18"/>
        </w:rPr>
        <w:t>Yabello</w:t>
      </w:r>
      <w:proofErr w:type="spellEnd"/>
      <w:r w:rsidRPr="00AF127F">
        <w:rPr>
          <w:sz w:val="18"/>
        </w:rPr>
        <w:t xml:space="preserve"> district of Borana Zone link: </w:t>
      </w:r>
      <w:hyperlink r:id="rId12" w:history="1">
        <w:r w:rsidRPr="003338AE">
          <w:rPr>
            <w:rStyle w:val="Hyperlink"/>
            <w:sz w:val="18"/>
          </w:rPr>
          <w:t>https://cgspace.cgiar.org/bitstream/handle/10568/35370/yabello_vca_2013.pdf?sequence=1</w:t>
        </w:r>
      </w:hyperlink>
    </w:p>
    <w:p w:rsidR="00AF127F" w:rsidRPr="00AF127F" w:rsidRDefault="00AF127F" w:rsidP="00AF127F">
      <w:pPr>
        <w:pStyle w:val="ListParagraph"/>
        <w:numPr>
          <w:ilvl w:val="0"/>
          <w:numId w:val="4"/>
        </w:numPr>
        <w:rPr>
          <w:sz w:val="18"/>
        </w:rPr>
      </w:pPr>
      <w:r w:rsidRPr="00AF127F">
        <w:rPr>
          <w:sz w:val="18"/>
        </w:rPr>
        <w:t>Control of bush encroachment in Borana Zone of southern</w:t>
      </w:r>
    </w:p>
    <w:p w:rsidR="00AF127F" w:rsidRPr="00AF127F" w:rsidRDefault="00AF127F" w:rsidP="00AF127F">
      <w:pPr>
        <w:spacing w:line="200" w:lineRule="exact"/>
        <w:jc w:val="both"/>
        <w:rPr>
          <w:rFonts w:ascii="Calibri" w:eastAsia="Calibri" w:hAnsi="Calibri" w:cs="Calibri"/>
          <w:sz w:val="18"/>
        </w:rPr>
      </w:pPr>
      <w:r w:rsidRPr="00AF127F">
        <w:rPr>
          <w:rFonts w:ascii="Calibri" w:eastAsia="Calibri" w:hAnsi="Calibri" w:cs="Calibri"/>
          <w:sz w:val="18"/>
        </w:rPr>
        <w:t xml:space="preserve">  Ethiopia: Effects of different control techniques on rangeland</w:t>
      </w:r>
    </w:p>
    <w:p w:rsidR="00AF127F" w:rsidRPr="00AF127F" w:rsidRDefault="00AF127F" w:rsidP="00AF127F">
      <w:pPr>
        <w:spacing w:line="200" w:lineRule="exact"/>
        <w:jc w:val="both"/>
        <w:rPr>
          <w:rFonts w:ascii="Calibri" w:eastAsia="Calibri" w:hAnsi="Calibri" w:cs="Calibri"/>
          <w:sz w:val="18"/>
        </w:rPr>
      </w:pPr>
      <w:r w:rsidRPr="00AF127F">
        <w:rPr>
          <w:rFonts w:ascii="Calibri" w:eastAsia="Calibri" w:hAnsi="Calibri" w:cs="Calibri"/>
          <w:sz w:val="18"/>
        </w:rPr>
        <w:t xml:space="preserve">  Vegetation and tick populations</w:t>
      </w:r>
    </w:p>
    <w:p w:rsidR="00AF127F" w:rsidRPr="00AF127F" w:rsidRDefault="00AF127F" w:rsidP="00AF127F">
      <w:pPr>
        <w:spacing w:line="200" w:lineRule="exact"/>
        <w:jc w:val="both"/>
        <w:rPr>
          <w:rFonts w:ascii="Calibri" w:eastAsia="Calibri" w:hAnsi="Calibri" w:cs="Calibri"/>
          <w:sz w:val="18"/>
        </w:rPr>
      </w:pPr>
      <w:r w:rsidRPr="00AF127F">
        <w:rPr>
          <w:rFonts w:ascii="Calibri" w:eastAsia="Calibri" w:hAnsi="Calibri" w:cs="Calibri"/>
          <w:sz w:val="18"/>
        </w:rPr>
        <w:t>Link: http://www.pastoralismjournal.com/content/pdf/s13570-014-0018-1.pdf</w:t>
      </w:r>
    </w:p>
    <w:p w:rsidR="00AF127F" w:rsidRDefault="00AF127F" w:rsidP="00AF127F">
      <w:pPr>
        <w:spacing w:line="200" w:lineRule="exact"/>
        <w:jc w:val="both"/>
        <w:rPr>
          <w:rFonts w:ascii="Calibri" w:eastAsia="Calibri" w:hAnsi="Calibri" w:cs="Calibri"/>
          <w:sz w:val="18"/>
        </w:rPr>
      </w:pPr>
      <w:hyperlink r:id="rId13" w:history="1">
        <w:r w:rsidRPr="003338AE">
          <w:rPr>
            <w:rStyle w:val="Hyperlink"/>
            <w:rFonts w:ascii="Calibri" w:eastAsia="Calibri" w:hAnsi="Calibri" w:cs="Calibri"/>
            <w:sz w:val="18"/>
          </w:rPr>
          <w:t>http://www.tropentag.de/2015/abstracts/links/Abdu_3mh0BEpH.pdf</w:t>
        </w:r>
      </w:hyperlink>
    </w:p>
    <w:p w:rsidR="00AF127F" w:rsidRPr="00AF127F" w:rsidRDefault="00AF127F" w:rsidP="00AF127F">
      <w:pPr>
        <w:pStyle w:val="ListParagraph"/>
        <w:numPr>
          <w:ilvl w:val="0"/>
          <w:numId w:val="4"/>
        </w:numPr>
        <w:rPr>
          <w:sz w:val="18"/>
        </w:rPr>
      </w:pPr>
      <w:r w:rsidRPr="00AF127F">
        <w:rPr>
          <w:sz w:val="18"/>
        </w:rPr>
        <w:t>Social capital and  agricultural technology adoption among Ethiopian farmers</w:t>
      </w:r>
    </w:p>
    <w:p w:rsidR="00AF127F" w:rsidRDefault="00AF127F" w:rsidP="00AF127F">
      <w:pPr>
        <w:spacing w:line="200" w:lineRule="exact"/>
        <w:jc w:val="both"/>
        <w:rPr>
          <w:rFonts w:ascii="Calibri" w:eastAsia="Calibri" w:hAnsi="Calibri" w:cs="Calibri"/>
          <w:sz w:val="18"/>
        </w:rPr>
      </w:pPr>
      <w:r w:rsidRPr="00AF127F">
        <w:rPr>
          <w:rFonts w:ascii="Calibri" w:eastAsia="Calibri" w:hAnsi="Calibri" w:cs="Calibri"/>
          <w:sz w:val="18"/>
        </w:rPr>
        <w:t xml:space="preserve">Link: </w:t>
      </w:r>
      <w:hyperlink r:id="rId14" w:history="1">
        <w:r w:rsidRPr="003338AE">
          <w:rPr>
            <w:rStyle w:val="Hyperlink"/>
            <w:rFonts w:ascii="Calibri" w:eastAsia="Calibri" w:hAnsi="Calibri" w:cs="Calibri"/>
            <w:sz w:val="18"/>
          </w:rPr>
          <w:t>http://www.tropentag.de/2015/abstracts/links/Abdu_3mh0BEpH.pdf</w:t>
        </w:r>
      </w:hyperlink>
    </w:p>
    <w:p w:rsidR="00AF127F" w:rsidRPr="00AF127F" w:rsidRDefault="00AF127F" w:rsidP="00AF127F">
      <w:pPr>
        <w:pStyle w:val="ListParagraph"/>
        <w:numPr>
          <w:ilvl w:val="0"/>
          <w:numId w:val="4"/>
        </w:numPr>
        <w:rPr>
          <w:sz w:val="18"/>
        </w:rPr>
      </w:pPr>
      <w:r>
        <w:rPr>
          <w:sz w:val="18"/>
        </w:rPr>
        <w:t xml:space="preserve"> </w:t>
      </w:r>
      <w:bookmarkStart w:id="0" w:name="_GoBack"/>
      <w:bookmarkEnd w:id="0"/>
      <w:r w:rsidRPr="00AF127F">
        <w:rPr>
          <w:sz w:val="18"/>
        </w:rPr>
        <w:t xml:space="preserve">Sustainable Pastoralism in Ethiopia: Preliminary Results from Participatory Community Assessments on the  North-central  Borana Plateau </w:t>
      </w:r>
    </w:p>
    <w:p w:rsidR="00AF127F" w:rsidRPr="00AF127F" w:rsidRDefault="00AF127F" w:rsidP="00AF127F">
      <w:pPr>
        <w:spacing w:line="200" w:lineRule="exact"/>
        <w:jc w:val="both"/>
        <w:rPr>
          <w:rFonts w:ascii="Calibri" w:eastAsia="Calibri" w:hAnsi="Calibri" w:cs="Calibri"/>
          <w:sz w:val="18"/>
        </w:rPr>
      </w:pPr>
      <w:r w:rsidRPr="00AF127F">
        <w:rPr>
          <w:rFonts w:ascii="Calibri" w:eastAsia="Calibri" w:hAnsi="Calibri" w:cs="Calibri"/>
          <w:sz w:val="18"/>
        </w:rPr>
        <w:t>Link:http://digitalcommons.usu.edu/cgi/viewcontent.cgi?article=1900&amp;context=envs_facpub</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F127F">
      <w:pPr>
        <w:pStyle w:val="BodyText"/>
        <w:rPr>
          <w:rFonts w:ascii="Calibri"/>
          <w:sz w:val="20"/>
        </w:rPr>
      </w:pPr>
      <w:r>
        <w:rPr>
          <w:noProof/>
          <w:lang w:val="de-DE" w:eastAsia="de-DE"/>
        </w:rPr>
        <w:lastRenderedPageBreak/>
        <w:drawing>
          <wp:inline distT="0" distB="0" distL="0" distR="0" wp14:anchorId="5C8047FD" wp14:editId="4056A65A">
            <wp:extent cx="833932" cy="699558"/>
            <wp:effectExtent l="0" t="0" r="444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35268" cy="700679"/>
                    </a:xfrm>
                    <a:prstGeom prst="rect">
                      <a:avLst/>
                    </a:prstGeom>
                    <a:noFill/>
                    <a:ln>
                      <a:noFill/>
                    </a:ln>
                    <a:effectLst/>
                  </pic:spPr>
                </pic:pic>
              </a:graphicData>
            </a:graphic>
          </wp:inline>
        </w:drawing>
      </w:r>
    </w:p>
    <w:p w:rsidR="00AE3E37" w:rsidRDefault="00292ED9">
      <w:pPr>
        <w:pStyle w:val="BodyText"/>
        <w:spacing w:line="40" w:lineRule="exact"/>
        <w:ind w:left="2202"/>
        <w:rPr>
          <w:rFonts w:ascii="Calibri"/>
          <w:sz w:val="4"/>
        </w:rPr>
      </w:pPr>
      <w:r>
        <w:rPr>
          <w:rFonts w:ascii="Calibri"/>
          <w:noProof/>
          <w:sz w:val="4"/>
          <w:lang w:val="de-DE" w:eastAsia="de-DE"/>
        </w:rPr>
        <mc:AlternateContent>
          <mc:Choice Requires="wpg">
            <w:drawing>
              <wp:inline distT="0" distB="0" distL="0" distR="0" wp14:anchorId="0ED8A22F" wp14:editId="27D29C8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F127F" w:rsidRPr="00AF127F" w:rsidRDefault="008756E6" w:rsidP="00404E5B">
      <w:pPr>
        <w:spacing w:before="92"/>
        <w:ind w:right="4234"/>
        <w:rPr>
          <w:rFonts w:ascii="Arial"/>
          <w:color w:val="BF5A14"/>
        </w:rPr>
      </w:pPr>
      <w:r>
        <w:rPr>
          <w:noProof/>
        </w:rPr>
        <w:t xml:space="preserve">   </w:t>
      </w:r>
      <w:r w:rsidR="00AF127F">
        <w:rPr>
          <w:noProof/>
        </w:rPr>
        <w:t>Assistant researcher at University of Hohenheim, Germany</w:t>
      </w:r>
    </w:p>
    <w:p w:rsidR="00AE3E37" w:rsidRDefault="00A9710C">
      <w:pPr>
        <w:spacing w:before="41" w:line="154" w:lineRule="exact"/>
        <w:ind w:left="213" w:right="231"/>
        <w:jc w:val="both"/>
        <w:rPr>
          <w:rFonts w:ascii="Arial"/>
          <w:sz w:val="14"/>
        </w:rPr>
      </w:pPr>
      <w:r>
        <w:rPr>
          <w:rFonts w:ascii="Arial"/>
          <w:sz w:val="14"/>
        </w:rPr>
        <w:t>.</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6" w:history="1">
        <w:r w:rsidR="00AF127F" w:rsidRPr="003338AE">
          <w:rPr>
            <w:rStyle w:val="Hyperlink"/>
            <w:rFonts w:ascii="Arial"/>
            <w:sz w:val="14"/>
          </w:rPr>
          <w:t>abbamilki@mail.com</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00AF127F">
        <w:rPr>
          <w:rStyle w:val="Hyperlink"/>
          <w:rFonts w:ascii="Arial"/>
          <w:sz w:val="14"/>
          <w:u w:val="none"/>
        </w:rPr>
        <w:t>: +4917672650085</w:t>
      </w:r>
    </w:p>
    <w:p w:rsidR="00AE3E37" w:rsidRDefault="00292ED9">
      <w:pPr>
        <w:pStyle w:val="BodyText"/>
        <w:spacing w:before="2"/>
        <w:rPr>
          <w:rFonts w:ascii="Arial"/>
          <w:sz w:val="19"/>
        </w:rPr>
      </w:pPr>
      <w:r>
        <w:rPr>
          <w:noProof/>
          <w:lang w:val="de-DE" w:eastAsia="de-DE"/>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845" w:rsidRDefault="00F87845">
      <w:r>
        <w:separator/>
      </w:r>
    </w:p>
  </w:endnote>
  <w:endnote w:type="continuationSeparator" w:id="0">
    <w:p w:rsidR="00F87845" w:rsidRDefault="00F87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de-DE" w:eastAsia="de-DE"/>
      </w:rPr>
      <mc:AlternateContent>
        <mc:Choice Requires="wps">
          <w:drawing>
            <wp:anchor distT="0" distB="0" distL="114300" distR="114300" simplePos="0" relativeHeight="503311928" behindDoc="1" locked="0" layoutInCell="1" allowOverlap="1" wp14:anchorId="2DA990ED" wp14:editId="5D299A4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52" behindDoc="1" locked="0" layoutInCell="1" allowOverlap="1" wp14:anchorId="201183BF" wp14:editId="5AF7EEF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76" behindDoc="1" locked="0" layoutInCell="1" allowOverlap="1" wp14:anchorId="74970C29" wp14:editId="61BA74F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845" w:rsidRDefault="00F87845">
      <w:r>
        <w:separator/>
      </w:r>
    </w:p>
  </w:footnote>
  <w:footnote w:type="continuationSeparator" w:id="0">
    <w:p w:rsidR="00F87845" w:rsidRDefault="00F878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de-DE" w:eastAsia="de-DE"/>
      </w:rPr>
      <mc:AlternateContent>
        <mc:Choice Requires="wps">
          <w:drawing>
            <wp:anchor distT="0" distB="0" distL="114300" distR="114300" simplePos="0" relativeHeight="503311880" behindDoc="1" locked="0" layoutInCell="1" allowOverlap="1" wp14:anchorId="654D0763" wp14:editId="57215E0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04" behindDoc="1" locked="0" layoutInCell="1" allowOverlap="1" wp14:anchorId="3620C5BA" wp14:editId="224E373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46B3961"/>
    <w:multiLevelType w:val="hybridMultilevel"/>
    <w:tmpl w:val="6C86EC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64417"/>
    <w:rsid w:val="003F175B"/>
    <w:rsid w:val="00404E5B"/>
    <w:rsid w:val="00414F7B"/>
    <w:rsid w:val="004355DC"/>
    <w:rsid w:val="004749B4"/>
    <w:rsid w:val="00494130"/>
    <w:rsid w:val="004F3523"/>
    <w:rsid w:val="005973B9"/>
    <w:rsid w:val="005B3A56"/>
    <w:rsid w:val="006060CE"/>
    <w:rsid w:val="0063497F"/>
    <w:rsid w:val="006956B6"/>
    <w:rsid w:val="00873DF0"/>
    <w:rsid w:val="008756E6"/>
    <w:rsid w:val="009B2D44"/>
    <w:rsid w:val="00A07E82"/>
    <w:rsid w:val="00A9710C"/>
    <w:rsid w:val="00AE3E37"/>
    <w:rsid w:val="00AF127F"/>
    <w:rsid w:val="00B21A57"/>
    <w:rsid w:val="00C33602"/>
    <w:rsid w:val="00CD6F55"/>
    <w:rsid w:val="00DE3104"/>
    <w:rsid w:val="00F07A90"/>
    <w:rsid w:val="00F24FA2"/>
    <w:rsid w:val="00F72EEA"/>
    <w:rsid w:val="00F84CAE"/>
    <w:rsid w:val="00F878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tropentag.de/2015/abstracts/links/Abdu_3mh0BEpH.pdf"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cgspace.cgiar.org/bitstream/handle/10568/35370/yabello_vca_2013.pdf?sequence=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abbamilki@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Microsoft_PowerPoint_Slide1.sldx"/><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tropentag.de/2015/abstracts/links/Abdu_3mh0BEpH.pdf"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424</Words>
  <Characters>2677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cp:lastModifiedBy>
  <cp:revision>2</cp:revision>
  <dcterms:created xsi:type="dcterms:W3CDTF">2016-11-06T16:43:00Z</dcterms:created>
  <dcterms:modified xsi:type="dcterms:W3CDTF">2016-11-06T16:43:00Z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