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in" ContentType="application/vnd.openxmlformats-officedocument.oleObject"/>
  <Default Extension="xlsx" ContentType="application/vnd.openxmlformats-officedocument.spreadsheetml.sheet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</Types>
</file>

<file path=_rels/.rels><?xml version="1.0" encoding="UTF-8"?>
<Relationships xmlns="http://schemas.openxmlformats.org/package/2006/relationships"><Relationship Id="rId1" Type="http://schemas.openxmlformats.org/package/2006/relationships/metadata/core-properties" Target="docProps/core.xml"></Relationship><Relationship Id="rId2" Type="http://schemas.openxmlformats.org/officeDocument/2006/relationships/extended-properties" Target="docProps/app.xml"></Relationship><Relationship Id="rId3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>
  <w:body>
    <w:p>
      <w:pPr>
        <w:pStyle w:val="Para0"/>
        <w:spacing w:line="276" w:lineRule="auto" w:after="200"/>
        <w:ind w:left="0" w:hanging="0"/>
        <w:rPr>
          <w:b/>
          <w:sz w:val="28"/>
          <w:szCs w:val="28"/>
          <w:sz w:val="28"/>
          <w:szCs w:val="28"/>
          <w:rFonts w:ascii="Times New Roman" w:eastAsia="Times New Roman" w:hAnsi="Times New Roman"/>
        </w:rPr>
      </w:pPr>
      <w:r>
        <w:rPr>
          <w:rStyle w:val="Character1"/>
          <w:b/>
          <w:sz w:val="28"/>
          <w:szCs w:val="28"/>
        </w:rPr>
        <w:t xml:space="preserve">Contribution of microbial activities to tomato growth and yield under an </w:t>
      </w:r>
      <w:r>
        <w:rPr>
          <w:rStyle w:val="Character1"/>
          <w:b/>
          <w:sz w:val="28"/>
          <w:szCs w:val="28"/>
        </w:rPr>
        <w:t xml:space="preserve">organic production system</w:t>
      </w:r>
    </w:p>
    <w:p>
      <w:pPr>
        <w:pStyle w:val="Para1"/>
        <w:spacing w:line="240" w:lineRule="auto" w:after="200"/>
        <w:ind w:left="0" w:hanging="0"/>
        <w:rPr>
          <w:sz w:val="24"/>
          <w:szCs w:val="24"/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Oluwatoyin .A. </w:t>
      </w:r>
      <w:r>
        <w:rPr>
          <w:rStyle w:val="Character4"/>
          <w:b/>
          <w:sz w:val="24"/>
          <w:szCs w:val="24"/>
        </w:rPr>
        <w:t>Babalola</w:t>
      </w:r>
    </w:p>
    <w:p>
      <w:pPr>
        <w:pStyle w:val="Para2"/>
        <w:spacing w:line="240" w:lineRule="auto"/>
        <w:ind w:left="0" w:hanging="0"/>
        <w:rPr>
          <w:sz w:val="24"/>
          <w:szCs w:val="24"/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Department of Soil Science and Land Management,</w:t>
      </w:r>
    </w:p>
    <w:p>
      <w:pPr>
        <w:pStyle w:val="Para2"/>
        <w:spacing w:line="240" w:lineRule="auto"/>
        <w:ind w:left="0" w:hanging="0"/>
        <w:rPr>
          <w:sz w:val="24"/>
          <w:szCs w:val="24"/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Federal University of Agriculture, Abeokuta, Nigeria</w:t>
      </w:r>
    </w:p>
    <w:p>
      <w:pPr>
        <w:pStyle w:val="Para3"/>
        <w:spacing w:line="276" w:lineRule="auto" w:after="200"/>
        <w:ind w:left="0" w:hanging="0"/>
        <w:rPr>
          <w:b/>
          <w:sz w:val="24"/>
          <w:szCs w:val="24"/>
          <w:sz w:val="24"/>
          <w:szCs w:val="24"/>
          <w:rFonts w:ascii="Times New Roman" w:eastAsia="Times New Roman" w:hAnsi="Times New Roman"/>
        </w:rPr>
      </w:pPr>
    </w:p>
    <w:p>
      <w:pPr>
        <w:pStyle w:val="Para3"/>
        <w:spacing w:line="276" w:lineRule="auto" w:after="200"/>
        <w:ind w:left="0" w:hanging="0"/>
        <w:rPr>
          <w:b/>
          <w:sz w:val="24"/>
          <w:szCs w:val="24"/>
          <w:sz w:val="24"/>
          <w:szCs w:val="24"/>
          <w:rFonts w:ascii="Times New Roman" w:eastAsia="Times New Roman" w:hAnsi="Times New Roman"/>
        </w:rPr>
      </w:pPr>
      <w:r>
        <w:rPr>
          <w:rStyle w:val="Character4"/>
          <w:b/>
          <w:sz w:val="24"/>
          <w:szCs w:val="24"/>
        </w:rPr>
        <w:t>Abstract</w:t>
      </w:r>
    </w:p>
    <w:p>
      <w:pPr>
        <w:pStyle w:val="Para4"/>
        <w:spacing w:line="360" w:lineRule="auto" w:after="200"/>
        <w:ind w:left="0" w:hanging="0"/>
        <w:rPr>
          <w:sz w:val="24"/>
          <w:szCs w:val="24"/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Optimizing microbiological activities in an organic crop production system is crucial to the </w:t>
      </w:r>
      <w:r>
        <w:rPr>
          <w:rStyle w:val="Character3"/>
          <w:sz w:val="24"/>
          <w:szCs w:val="24"/>
        </w:rPr>
        <w:t xml:space="preserve">realization of optimum growth and development of the crops. Field and pot experiments were </w:t>
      </w:r>
      <w:r>
        <w:rPr>
          <w:rStyle w:val="Character3"/>
          <w:sz w:val="24"/>
          <w:szCs w:val="24"/>
        </w:rPr>
        <w:t xml:space="preserve">conducted to assess soil microbial activities, growth and yield of tomato varieties in response to 4 </w:t>
      </w:r>
      <w:r>
        <w:rPr>
          <w:rStyle w:val="Character3"/>
          <w:sz w:val="24"/>
          <w:szCs w:val="24"/>
        </w:rPr>
        <w:t xml:space="preserve">rates of composted plant and animal residues. The compost rates were 0, 5, 10 and 20 t ha</w:t>
      </w:r>
      <w:r>
        <w:rPr>
          <w:rStyle w:val="Character6"/>
          <w:vertAlign w:val="superscript"/>
          <w:sz w:val="24"/>
          <w:szCs w:val="24"/>
        </w:rPr>
        <w:t>-1</w:t>
      </w:r>
      <w:r>
        <w:rPr>
          <w:rStyle w:val="Character3"/>
          <w:sz w:val="24"/>
          <w:szCs w:val="24"/>
        </w:rPr>
        <w:t xml:space="preserve">, and </w:t>
      </w:r>
      <w:r>
        <w:rPr>
          <w:rStyle w:val="Character3"/>
          <w:sz w:val="24"/>
          <w:szCs w:val="24"/>
        </w:rPr>
        <w:t xml:space="preserve">improved Ibadan and Ibadan local constituted the varieties. Fungi population, microbial biomass </w:t>
      </w:r>
      <w:r>
        <w:rPr>
          <w:rStyle w:val="Character3"/>
          <w:sz w:val="24"/>
          <w:szCs w:val="24"/>
        </w:rPr>
        <w:t xml:space="preserve">nitrogen, cellulase and proteinase activities were significantly higher (P≤ 0.05) at the rhizosphere </w:t>
      </w:r>
      <w:r>
        <w:rPr>
          <w:rStyle w:val="Character3"/>
          <w:sz w:val="24"/>
          <w:szCs w:val="24"/>
        </w:rPr>
        <w:t xml:space="preserve">of the local variety than that of improved variety. This led to significantly higher number of </w:t>
      </w:r>
      <w:r>
        <w:rPr>
          <w:rStyle w:val="Character3"/>
          <w:sz w:val="24"/>
          <w:szCs w:val="24"/>
        </w:rPr>
        <w:t xml:space="preserve">branches, plant height, leaf area, number of fruits and less days to maturity in the local variety. </w:t>
      </w:r>
      <w:r>
        <w:rPr>
          <w:rStyle w:val="Character3"/>
          <w:sz w:val="24"/>
          <w:szCs w:val="24"/>
        </w:rPr>
        <w:t xml:space="preserve">Furthermore, compost amended soil had significantly higher microbial populations, microbial </w:t>
      </w:r>
      <w:r>
        <w:rPr>
          <w:rStyle w:val="Character3"/>
          <w:sz w:val="24"/>
          <w:szCs w:val="24"/>
        </w:rPr>
        <w:t xml:space="preserve">biomass N, P and C, enzyme activities, soil N, P and organic carbon than control, but amendment </w:t>
      </w:r>
      <w:r>
        <w:rPr>
          <w:rStyle w:val="Character3"/>
          <w:sz w:val="24"/>
          <w:szCs w:val="24"/>
        </w:rPr>
        <w:t xml:space="preserve">of 20 t ha</w:t>
      </w:r>
      <w:r>
        <w:rPr>
          <w:rStyle w:val="Character6"/>
          <w:vertAlign w:val="superscript"/>
          <w:sz w:val="24"/>
          <w:szCs w:val="24"/>
        </w:rPr>
        <w:t>-1</w:t>
      </w:r>
      <w:r>
        <w:rPr>
          <w:rStyle w:val="Character3"/>
          <w:sz w:val="24"/>
          <w:szCs w:val="24"/>
        </w:rPr>
        <w:t xml:space="preserve"> gave significantly higher values than other compost rates. Consequently, growth </w:t>
      </w:r>
      <w:r>
        <w:rPr>
          <w:rStyle w:val="Character3"/>
          <w:sz w:val="24"/>
          <w:szCs w:val="24"/>
        </w:rPr>
        <w:t xml:space="preserve">parameters and tissue N significantly increased in all compost treatments while dry matter yield </w:t>
      </w:r>
      <w:r>
        <w:rPr>
          <w:rStyle w:val="Character3"/>
          <w:sz w:val="24"/>
          <w:szCs w:val="24"/>
        </w:rPr>
        <w:t xml:space="preserve">and weight of fruits were significantly higher in soil amended with 20 t ha</w:t>
      </w:r>
      <w:r>
        <w:rPr>
          <w:rStyle w:val="Character6"/>
          <w:vertAlign w:val="superscript"/>
          <w:sz w:val="24"/>
          <w:szCs w:val="24"/>
        </w:rPr>
        <w:t>-1</w:t>
      </w:r>
      <w:r>
        <w:rPr>
          <w:rStyle w:val="Character3"/>
          <w:sz w:val="24"/>
          <w:szCs w:val="24"/>
        </w:rPr>
        <w:t xml:space="preserve">. Correlation analysis </w:t>
      </w:r>
      <w:r>
        <w:rPr>
          <w:rStyle w:val="Character3"/>
          <w:sz w:val="24"/>
          <w:szCs w:val="24"/>
        </w:rPr>
        <w:t xml:space="preserve">showed that microbial activities at 6 weeks after transplanting were more consistently and highly </w:t>
      </w:r>
      <w:r>
        <w:rPr>
          <w:rStyle w:val="Character3"/>
          <w:sz w:val="24"/>
          <w:szCs w:val="24"/>
        </w:rPr>
        <w:t xml:space="preserve">correlated with growth and yield parameters. It was concluded that microbial activities could be </w:t>
      </w:r>
      <w:r>
        <w:rPr>
          <w:rStyle w:val="Character3"/>
          <w:sz w:val="24"/>
          <w:szCs w:val="24"/>
        </w:rPr>
        <w:t xml:space="preserve">optimized to improve the yield of the two tomato varieties in an organic production system, </w:t>
      </w:r>
      <w:r>
        <w:rPr>
          <w:rStyle w:val="Character3"/>
          <w:sz w:val="24"/>
          <w:szCs w:val="24"/>
        </w:rPr>
        <w:t xml:space="preserve">through the application of compost, particularly at 20 t ha</w:t>
      </w:r>
      <w:r>
        <w:rPr>
          <w:rStyle w:val="Character6"/>
          <w:vertAlign w:val="superscript"/>
          <w:sz w:val="24"/>
          <w:szCs w:val="24"/>
        </w:rPr>
        <w:t>-1</w:t>
      </w:r>
      <w:r>
        <w:rPr>
          <w:rStyle w:val="Character3"/>
          <w:sz w:val="24"/>
          <w:szCs w:val="24"/>
        </w:rPr>
        <w:t xml:space="preserve">.  </w:t>
      </w:r>
    </w:p>
    <w:p>
      <w:pPr>
        <w:pStyle w:val="Para5"/>
        <w:spacing w:line="276" w:lineRule="auto" w:after="200"/>
        <w:ind w:left="0" w:hanging="0"/>
        <w:rPr>
          <w:sz w:val="22"/>
          <w:szCs w:val="22"/>
          <w:sz w:val="22"/>
          <w:szCs w:val="22"/>
          <w:rFonts w:ascii="Calibri" w:eastAsia="Calibri" w:hAnsi="Calibri"/>
        </w:rPr>
      </w:pPr>
    </w:p>
    <w:p>
      <w:pPr>
        <w:pStyle w:val="Para5"/>
        <w:spacing w:line="276" w:lineRule="auto" w:after="200"/>
        <w:ind w:left="0" w:hanging="0"/>
        <w:rPr>
          <w:sz w:val="22"/>
          <w:szCs w:val="22"/>
          <w:sz w:val="22"/>
          <w:szCs w:val="22"/>
          <w:rFonts w:ascii="Calibri" w:eastAsia="Calibri" w:hAnsi="Calibri"/>
        </w:rPr>
      </w:pPr>
    </w:p>
    <w:p>
      <w:pPr>
        <w:pStyle w:val="Para5"/>
        <w:spacing w:line="276" w:lineRule="auto" w:after="200"/>
        <w:ind w:left="0" w:hanging="0"/>
        <w:rPr>
          <w:sz w:val="22"/>
          <w:szCs w:val="22"/>
          <w:sz w:val="22"/>
          <w:szCs w:val="22"/>
          <w:rFonts w:ascii="Calibri" w:eastAsia="Calibri" w:hAnsi="Calibri"/>
        </w:rPr>
      </w:pPr>
    </w:p>
    <w:p>
      <w:pPr>
        <w:pStyle w:val="Para6"/>
        <w:spacing w:line="276" w:lineRule="auto" w:after="200"/>
        <w:ind w:left="0" w:hanging="0"/>
        <w:rPr>
          <w:sz w:val="22"/>
          <w:szCs w:val="22"/>
          <w:sz w:val="22"/>
          <w:szCs w:val="22"/>
          <w:rFonts w:ascii="Calibri" w:eastAsia="Calibri" w:hAnsi="Calibri"/>
        </w:rPr>
      </w:pPr>
      <w:r>
        <w:br w:type="page"/>
      </w:r>
    </w:p>
    <w:p>
      <w:pPr>
        <w:pStyle w:val="Para6"/>
        <w:spacing w:line="276" w:lineRule="auto" w:after="200"/>
        <w:ind w:left="0" w:hanging="0"/>
        <w:rPr>
          <w:sz w:val="22"/>
          <w:szCs w:val="22"/>
          <w:sz w:val="22"/>
          <w:szCs w:val="22"/>
          <w:rFonts w:ascii="Calibri" w:eastAsia="Calibri" w:hAnsi="Calibri"/>
        </w:rPr>
      </w:pPr>
    </w:p>
    <w:p>
      <w:pPr>
        <w:pStyle w:val="Para0"/>
        <w:spacing w:line="276" w:lineRule="auto" w:after="200"/>
        <w:ind w:left="0" w:hanging="0"/>
        <w:rPr>
          <w:sz w:val="22"/>
          <w:szCs w:val="22"/>
          <w:sz w:val="22"/>
          <w:szCs w:val="22"/>
          <w:rFonts w:ascii="Times New Roman" w:eastAsia="Times New Roman" w:hAnsi="Times New Roman"/>
        </w:rPr>
      </w:pPr>
      <w:r>
        <w:rPr>
          <w:rStyle w:val="Character11"/>
          <w:sz w:val="22"/>
          <w:szCs w:val="22"/>
        </w:rPr>
        <w:t xml:space="preserve">Table 1: Soil microbial populations and yield characteristics of tomato varieties as influenced by compost </w:t>
      </w:r>
      <w:r>
        <w:rPr>
          <w:rStyle w:val="Character11"/>
          <w:sz w:val="22"/>
          <w:szCs w:val="22"/>
        </w:rPr>
        <w:t xml:space="preserve">amendment </w:t>
      </w:r>
    </w:p>
    <w:tbl>
      <w:tblPr>
        <w:tblStyle w:val="Default Table"/>
        <w:tblCellMar w:top="0" w:left="99" w:bottom="0" w:right="99"/>
        <w:tblW w:w="9576" w:type="auto"/>
        <w:tblLook w:val="0000"/>
      </w:tblPr>
      <w:tblGrid>
        <w:gridCol w:w="1789"/>
        <w:gridCol w:w="1381"/>
        <w:gridCol w:w="1381"/>
        <w:gridCol w:w="1538"/>
        <w:gridCol w:w="1032"/>
        <w:gridCol w:w="937"/>
        <w:gridCol w:w="1518"/>
      </w:tblGrid>
      <w:tr>
        <w:tc>
          <w:tcPr>
            <w:tcW w:w="1789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single" w:sz="4" w:space="0" w:color="000000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Treatment</w:t>
            </w:r>
          </w:p>
        </w:tc>
        <w:tc>
          <w:tcPr>
            <w:tcW w:w="1381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single" w:sz="4" w:space="0" w:color="000000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 xml:space="preserve">Fungi count </w:t>
            </w:r>
            <w:r>
              <w:rPr>
                <w:rStyle w:val="Character11"/>
                <w:sz w:val="22"/>
                <w:szCs w:val="22"/>
              </w:rPr>
              <w:t>(x10</w:t>
            </w:r>
            <w:r>
              <w:rPr>
                <w:rStyle w:val="Character12"/>
                <w:vertAlign w:val="superscript"/>
                <w:sz w:val="22"/>
                <w:szCs w:val="22"/>
              </w:rPr>
              <w:t>4</w:t>
            </w:r>
            <w:r>
              <w:rPr>
                <w:rStyle w:val="Character11"/>
                <w:sz w:val="22"/>
                <w:szCs w:val="22"/>
              </w:rPr>
              <w:t xml:space="preserve"> cfu/g)</w:t>
            </w:r>
          </w:p>
        </w:tc>
        <w:tc>
          <w:tcPr>
            <w:tcW w:w="1381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single" w:sz="4" w:space="0" w:color="000000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 xml:space="preserve">Bacterial </w:t>
            </w:r>
            <w:r>
              <w:rPr>
                <w:rStyle w:val="Character11"/>
                <w:sz w:val="22"/>
                <w:szCs w:val="22"/>
              </w:rPr>
              <w:t xml:space="preserve">count </w:t>
            </w:r>
          </w:p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(x10</w:t>
            </w:r>
            <w:r>
              <w:rPr>
                <w:rStyle w:val="Character12"/>
                <w:vertAlign w:val="superscript"/>
                <w:sz w:val="22"/>
                <w:szCs w:val="22"/>
              </w:rPr>
              <w:t>5</w:t>
            </w:r>
            <w:r>
              <w:rPr>
                <w:rStyle w:val="Character11"/>
                <w:sz w:val="22"/>
                <w:szCs w:val="22"/>
              </w:rPr>
              <w:t xml:space="preserve"> cfu/g)</w:t>
            </w:r>
          </w:p>
        </w:tc>
        <w:tc>
          <w:tcPr>
            <w:tcW w:w="1538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single" w:sz="4" w:space="0" w:color="000000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 xml:space="preserve">Total biomass </w:t>
            </w:r>
            <w:r>
              <w:rPr>
                <w:rStyle w:val="Character11"/>
                <w:sz w:val="22"/>
                <w:szCs w:val="22"/>
              </w:rPr>
              <w:t xml:space="preserve">production </w:t>
            </w:r>
          </w:p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 xml:space="preserve">(g plant</w:t>
            </w:r>
            <w:r>
              <w:rPr>
                <w:rStyle w:val="Character12"/>
                <w:vertAlign w:val="superscript"/>
                <w:sz w:val="22"/>
                <w:szCs w:val="22"/>
              </w:rPr>
              <w:t>-1</w:t>
            </w:r>
            <w:r>
              <w:rPr>
                <w:rStyle w:val="Character11"/>
                <w:sz w:val="22"/>
                <w:szCs w:val="22"/>
              </w:rPr>
              <w:t>)</w:t>
            </w:r>
          </w:p>
        </w:tc>
        <w:tc>
          <w:tcPr>
            <w:tcW w:w="1032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single" w:sz="4" w:space="0" w:color="000000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 xml:space="preserve">Days to </w:t>
            </w:r>
            <w:r>
              <w:rPr>
                <w:rStyle w:val="Character11"/>
                <w:sz w:val="22"/>
                <w:szCs w:val="22"/>
              </w:rPr>
              <w:t>fruiting</w:t>
            </w:r>
          </w:p>
        </w:tc>
        <w:tc>
          <w:tcPr>
            <w:tcW w:w="937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single" w:sz="4" w:space="0" w:color="000000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 xml:space="preserve">Total no </w:t>
            </w:r>
            <w:r>
              <w:rPr>
                <w:rStyle w:val="Character11"/>
                <w:sz w:val="22"/>
                <w:szCs w:val="22"/>
              </w:rPr>
              <w:t>fruits</w:t>
            </w:r>
          </w:p>
        </w:tc>
        <w:tc>
          <w:tcPr>
            <w:tcW w:w="1518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single" w:sz="4" w:space="0" w:color="000000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 xml:space="preserve">Weight of </w:t>
            </w:r>
            <w:r>
              <w:rPr>
                <w:rStyle w:val="Character11"/>
                <w:sz w:val="22"/>
                <w:szCs w:val="22"/>
              </w:rPr>
              <w:t>harvest</w:t>
            </w:r>
          </w:p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 xml:space="preserve"> (g plant</w:t>
            </w:r>
            <w:r>
              <w:rPr>
                <w:rStyle w:val="Character12"/>
                <w:vertAlign w:val="superscript"/>
                <w:sz w:val="22"/>
                <w:szCs w:val="22"/>
              </w:rPr>
              <w:t>-1</w:t>
            </w:r>
            <w:r>
              <w:rPr>
                <w:rStyle w:val="Character11"/>
                <w:sz w:val="22"/>
                <w:szCs w:val="22"/>
              </w:rPr>
              <w:t>)</w:t>
            </w:r>
          </w:p>
        </w:tc>
      </w:tr>
      <w:tr>
        <w:tc>
          <w:tcPr>
            <w:tcW w:w="1789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Varieties</w:t>
            </w:r>
          </w:p>
        </w:tc>
        <w:tc>
          <w:tcPr>
            <w:tcW w:w="1381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</w:p>
        </w:tc>
        <w:tc>
          <w:tcPr>
            <w:tcW w:w="1381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</w:p>
        </w:tc>
        <w:tc>
          <w:tcPr>
            <w:tcW w:w="1538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</w:p>
        </w:tc>
        <w:tc>
          <w:tcPr>
            <w:tcW w:w="1032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</w:p>
        </w:tc>
        <w:tc>
          <w:tcPr>
            <w:tcW w:w="937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</w:p>
        </w:tc>
        <w:tc>
          <w:tcPr>
            <w:tcW w:w="1518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</w:p>
        </w:tc>
      </w:tr>
      <w:tr>
        <w:tc>
          <w:tcPr>
            <w:tcW w:w="1789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Local</w:t>
            </w:r>
          </w:p>
        </w:tc>
        <w:tc>
          <w:tcPr>
            <w:tcW w:w="1381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7.4b</w:t>
            </w:r>
          </w:p>
        </w:tc>
        <w:tc>
          <w:tcPr>
            <w:tcW w:w="1381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12.5</w:t>
            </w:r>
          </w:p>
        </w:tc>
        <w:tc>
          <w:tcPr>
            <w:tcW w:w="1538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0.77</w:t>
            </w:r>
          </w:p>
        </w:tc>
        <w:tc>
          <w:tcPr>
            <w:tcW w:w="1032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41.6a</w:t>
            </w:r>
          </w:p>
        </w:tc>
        <w:tc>
          <w:tcPr>
            <w:tcW w:w="937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12.7a</w:t>
            </w:r>
          </w:p>
        </w:tc>
        <w:tc>
          <w:tcPr>
            <w:tcW w:w="1518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187.7</w:t>
            </w:r>
          </w:p>
        </w:tc>
      </w:tr>
      <w:tr>
        <w:tc>
          <w:tcPr>
            <w:tcW w:w="1789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Improved</w:t>
            </w:r>
          </w:p>
        </w:tc>
        <w:tc>
          <w:tcPr>
            <w:tcW w:w="1381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9.7a</w:t>
            </w:r>
          </w:p>
        </w:tc>
        <w:tc>
          <w:tcPr>
            <w:tcW w:w="1381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11.3</w:t>
            </w:r>
          </w:p>
        </w:tc>
        <w:tc>
          <w:tcPr>
            <w:tcW w:w="1538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0.72</w:t>
            </w:r>
          </w:p>
        </w:tc>
        <w:tc>
          <w:tcPr>
            <w:tcW w:w="1032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54.4b</w:t>
            </w:r>
          </w:p>
        </w:tc>
        <w:tc>
          <w:tcPr>
            <w:tcW w:w="937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4.4b</w:t>
            </w:r>
          </w:p>
        </w:tc>
        <w:tc>
          <w:tcPr>
            <w:tcW w:w="1518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200.9</w:t>
            </w:r>
          </w:p>
        </w:tc>
      </w:tr>
      <w:tr>
        <w:tc>
          <w:tcPr>
            <w:tcW w:w="1789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 xml:space="preserve">Compost (t ha-1)</w:t>
            </w:r>
          </w:p>
        </w:tc>
        <w:tc>
          <w:tcPr>
            <w:tcW w:w="1381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</w:p>
        </w:tc>
        <w:tc>
          <w:tcPr>
            <w:tcW w:w="1381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</w:p>
        </w:tc>
        <w:tc>
          <w:tcPr>
            <w:tcW w:w="1538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</w:p>
        </w:tc>
        <w:tc>
          <w:tcPr>
            <w:tcW w:w="1032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</w:p>
        </w:tc>
        <w:tc>
          <w:tcPr>
            <w:tcW w:w="937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</w:p>
        </w:tc>
        <w:tc>
          <w:tcPr>
            <w:tcW w:w="1518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</w:p>
        </w:tc>
      </w:tr>
      <w:tr>
        <w:tc>
          <w:tcPr>
            <w:tcW w:w="1789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0</w:t>
            </w:r>
          </w:p>
        </w:tc>
        <w:tc>
          <w:tcPr>
            <w:tcW w:w="1381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4.5c</w:t>
            </w:r>
          </w:p>
        </w:tc>
        <w:tc>
          <w:tcPr>
            <w:tcW w:w="1381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6.5c</w:t>
            </w:r>
          </w:p>
        </w:tc>
        <w:tc>
          <w:tcPr>
            <w:tcW w:w="1538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0.80</w:t>
            </w:r>
          </w:p>
        </w:tc>
        <w:tc>
          <w:tcPr>
            <w:tcW w:w="1032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55.5a</w:t>
            </w:r>
          </w:p>
        </w:tc>
        <w:tc>
          <w:tcPr>
            <w:tcW w:w="937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5.5</w:t>
            </w:r>
          </w:p>
        </w:tc>
        <w:tc>
          <w:tcPr>
            <w:tcW w:w="1518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111.7</w:t>
            </w:r>
          </w:p>
        </w:tc>
      </w:tr>
      <w:tr>
        <w:tc>
          <w:tcPr>
            <w:tcW w:w="1789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5</w:t>
            </w:r>
          </w:p>
        </w:tc>
        <w:tc>
          <w:tcPr>
            <w:tcW w:w="1381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8.0b</w:t>
            </w:r>
          </w:p>
        </w:tc>
        <w:tc>
          <w:tcPr>
            <w:tcW w:w="1381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11.1b</w:t>
            </w:r>
          </w:p>
        </w:tc>
        <w:tc>
          <w:tcPr>
            <w:tcW w:w="1538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0.78</w:t>
            </w:r>
          </w:p>
        </w:tc>
        <w:tc>
          <w:tcPr>
            <w:tcW w:w="1032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43.2b</w:t>
            </w:r>
          </w:p>
        </w:tc>
        <w:tc>
          <w:tcPr>
            <w:tcW w:w="937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9.8</w:t>
            </w:r>
          </w:p>
        </w:tc>
        <w:tc>
          <w:tcPr>
            <w:tcW w:w="1518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176.5</w:t>
            </w:r>
          </w:p>
        </w:tc>
      </w:tr>
      <w:tr>
        <w:tc>
          <w:tcPr>
            <w:tcW w:w="1789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10</w:t>
            </w:r>
          </w:p>
        </w:tc>
        <w:tc>
          <w:tcPr>
            <w:tcW w:w="1381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10.5a</w:t>
            </w:r>
          </w:p>
        </w:tc>
        <w:tc>
          <w:tcPr>
            <w:tcW w:w="1381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14.5ab</w:t>
            </w:r>
          </w:p>
        </w:tc>
        <w:tc>
          <w:tcPr>
            <w:tcW w:w="1538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0.40</w:t>
            </w:r>
          </w:p>
        </w:tc>
        <w:tc>
          <w:tcPr>
            <w:tcW w:w="1032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45.8b</w:t>
            </w:r>
          </w:p>
        </w:tc>
        <w:tc>
          <w:tcPr>
            <w:tcW w:w="937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8.5</w:t>
            </w:r>
          </w:p>
        </w:tc>
        <w:tc>
          <w:tcPr>
            <w:tcW w:w="1518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224.5</w:t>
            </w:r>
          </w:p>
        </w:tc>
      </w:tr>
      <w:tr>
        <w:tc>
          <w:tcPr>
            <w:tcW w:w="1789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20</w:t>
            </w:r>
          </w:p>
        </w:tc>
        <w:tc>
          <w:tcPr>
            <w:tcW w:w="1381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11.2a</w:t>
            </w:r>
          </w:p>
        </w:tc>
        <w:tc>
          <w:tcPr>
            <w:tcW w:w="1381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15.5a</w:t>
            </w:r>
          </w:p>
        </w:tc>
        <w:tc>
          <w:tcPr>
            <w:tcW w:w="1538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0.93</w:t>
            </w:r>
          </w:p>
        </w:tc>
        <w:tc>
          <w:tcPr>
            <w:tcW w:w="1032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45.7b</w:t>
            </w:r>
          </w:p>
        </w:tc>
        <w:tc>
          <w:tcPr>
            <w:tcW w:w="937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10.3</w:t>
            </w:r>
          </w:p>
        </w:tc>
        <w:tc>
          <w:tcPr>
            <w:tcW w:w="1518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264.5</w:t>
            </w:r>
          </w:p>
        </w:tc>
      </w:tr>
      <w:tr>
        <w:tc>
          <w:tcPr>
            <w:tcW w:w="1789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 xml:space="preserve">Compost x </w:t>
            </w:r>
            <w:r>
              <w:rPr>
                <w:rStyle w:val="Character11"/>
                <w:sz w:val="22"/>
                <w:szCs w:val="22"/>
              </w:rPr>
              <w:t>variety</w:t>
            </w:r>
          </w:p>
        </w:tc>
        <w:tc>
          <w:tcPr>
            <w:tcW w:w="1381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</w:p>
        </w:tc>
        <w:tc>
          <w:tcPr>
            <w:tcW w:w="1381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</w:p>
        </w:tc>
        <w:tc>
          <w:tcPr>
            <w:tcW w:w="1538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</w:p>
        </w:tc>
        <w:tc>
          <w:tcPr>
            <w:tcW w:w="1032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</w:p>
        </w:tc>
        <w:tc>
          <w:tcPr>
            <w:tcW w:w="937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</w:p>
        </w:tc>
        <w:tc>
          <w:tcPr>
            <w:tcW w:w="1518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</w:p>
        </w:tc>
      </w:tr>
      <w:tr>
        <w:tc>
          <w:tcPr>
            <w:tcW w:w="1789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Local</w:t>
            </w:r>
          </w:p>
        </w:tc>
        <w:tc>
          <w:tcPr>
            <w:tcW w:w="1381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</w:p>
        </w:tc>
        <w:tc>
          <w:tcPr>
            <w:tcW w:w="1381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</w:p>
        </w:tc>
        <w:tc>
          <w:tcPr>
            <w:tcW w:w="1538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</w:p>
        </w:tc>
        <w:tc>
          <w:tcPr>
            <w:tcW w:w="1032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</w:p>
        </w:tc>
        <w:tc>
          <w:tcPr>
            <w:tcW w:w="937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</w:p>
        </w:tc>
        <w:tc>
          <w:tcPr>
            <w:tcW w:w="1518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</w:p>
        </w:tc>
      </w:tr>
      <w:tr>
        <w:tc>
          <w:tcPr>
            <w:tcW w:w="1789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0</w:t>
            </w:r>
          </w:p>
        </w:tc>
        <w:tc>
          <w:tcPr>
            <w:tcW w:w="1381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4.7d</w:t>
            </w:r>
          </w:p>
        </w:tc>
        <w:tc>
          <w:tcPr>
            <w:tcW w:w="1381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4.9c</w:t>
            </w:r>
          </w:p>
        </w:tc>
        <w:tc>
          <w:tcPr>
            <w:tcW w:w="1538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0.34b</w:t>
            </w:r>
          </w:p>
        </w:tc>
        <w:tc>
          <w:tcPr>
            <w:tcW w:w="1032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47.5bc</w:t>
            </w:r>
          </w:p>
        </w:tc>
        <w:tc>
          <w:tcPr>
            <w:tcW w:w="937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9.0abc</w:t>
            </w:r>
          </w:p>
        </w:tc>
        <w:tc>
          <w:tcPr>
            <w:tcW w:w="1518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138.7ab</w:t>
            </w:r>
          </w:p>
        </w:tc>
      </w:tr>
      <w:tr>
        <w:tc>
          <w:tcPr>
            <w:tcW w:w="1789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5</w:t>
            </w:r>
          </w:p>
        </w:tc>
        <w:tc>
          <w:tcPr>
            <w:tcW w:w="1381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9.0c</w:t>
            </w:r>
          </w:p>
        </w:tc>
        <w:tc>
          <w:tcPr>
            <w:tcW w:w="1381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13.2ab</w:t>
            </w:r>
          </w:p>
        </w:tc>
        <w:tc>
          <w:tcPr>
            <w:tcW w:w="1538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0.72ab</w:t>
            </w:r>
          </w:p>
        </w:tc>
        <w:tc>
          <w:tcPr>
            <w:tcW w:w="1032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46.2bc</w:t>
            </w:r>
          </w:p>
        </w:tc>
        <w:tc>
          <w:tcPr>
            <w:tcW w:w="937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10.3ab</w:t>
            </w:r>
          </w:p>
        </w:tc>
        <w:tc>
          <w:tcPr>
            <w:tcW w:w="1518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171.7ab</w:t>
            </w:r>
          </w:p>
        </w:tc>
      </w:tr>
      <w:tr>
        <w:tc>
          <w:tcPr>
            <w:tcW w:w="1789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10</w:t>
            </w:r>
          </w:p>
        </w:tc>
        <w:tc>
          <w:tcPr>
            <w:tcW w:w="1381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12.3ab</w:t>
            </w:r>
          </w:p>
        </w:tc>
        <w:tc>
          <w:tcPr>
            <w:tcW w:w="1381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15.2a</w:t>
            </w:r>
          </w:p>
        </w:tc>
        <w:tc>
          <w:tcPr>
            <w:tcW w:w="1538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0.75ab</w:t>
            </w:r>
          </w:p>
        </w:tc>
        <w:tc>
          <w:tcPr>
            <w:tcW w:w="1032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44.3bc</w:t>
            </w:r>
          </w:p>
        </w:tc>
        <w:tc>
          <w:tcPr>
            <w:tcW w:w="937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14.7a</w:t>
            </w:r>
          </w:p>
        </w:tc>
        <w:tc>
          <w:tcPr>
            <w:tcW w:w="1518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194.3ab</w:t>
            </w:r>
          </w:p>
        </w:tc>
      </w:tr>
      <w:tr>
        <w:tc>
          <w:tcPr>
            <w:tcW w:w="1789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20</w:t>
            </w:r>
          </w:p>
        </w:tc>
        <w:tc>
          <w:tcPr>
            <w:tcW w:w="1381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12.7a</w:t>
            </w:r>
          </w:p>
        </w:tc>
        <w:tc>
          <w:tcPr>
            <w:tcW w:w="1381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16.5a</w:t>
            </w:r>
          </w:p>
        </w:tc>
        <w:tc>
          <w:tcPr>
            <w:tcW w:w="1538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1.28a</w:t>
            </w:r>
          </w:p>
        </w:tc>
        <w:tc>
          <w:tcPr>
            <w:tcW w:w="1032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42.6c</w:t>
            </w:r>
          </w:p>
        </w:tc>
        <w:tc>
          <w:tcPr>
            <w:tcW w:w="937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16.7a</w:t>
            </w:r>
          </w:p>
        </w:tc>
        <w:tc>
          <w:tcPr>
            <w:tcW w:w="1518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246.0ab</w:t>
            </w:r>
          </w:p>
        </w:tc>
      </w:tr>
      <w:tr>
        <w:tc>
          <w:tcPr>
            <w:tcW w:w="1789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Improved</w:t>
            </w:r>
          </w:p>
        </w:tc>
        <w:tc>
          <w:tcPr>
            <w:tcW w:w="1381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</w:p>
        </w:tc>
        <w:tc>
          <w:tcPr>
            <w:tcW w:w="1381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</w:p>
        </w:tc>
        <w:tc>
          <w:tcPr>
            <w:tcW w:w="1538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</w:p>
        </w:tc>
        <w:tc>
          <w:tcPr>
            <w:tcW w:w="1032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</w:p>
        </w:tc>
        <w:tc>
          <w:tcPr>
            <w:tcW w:w="937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</w:p>
        </w:tc>
        <w:tc>
          <w:tcPr>
            <w:tcW w:w="1518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</w:p>
        </w:tc>
      </w:tr>
      <w:tr>
        <w:tc>
          <w:tcPr>
            <w:tcW w:w="1789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0</w:t>
            </w:r>
          </w:p>
        </w:tc>
        <w:tc>
          <w:tcPr>
            <w:tcW w:w="1381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4.3d</w:t>
            </w:r>
          </w:p>
        </w:tc>
        <w:tc>
          <w:tcPr>
            <w:tcW w:w="1381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7.6c</w:t>
            </w:r>
          </w:p>
        </w:tc>
        <w:tc>
          <w:tcPr>
            <w:tcW w:w="1538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0.57b</w:t>
            </w:r>
          </w:p>
        </w:tc>
        <w:tc>
          <w:tcPr>
            <w:tcW w:w="1032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55.2a</w:t>
            </w:r>
          </w:p>
        </w:tc>
        <w:tc>
          <w:tcPr>
            <w:tcW w:w="937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2.0c</w:t>
            </w:r>
          </w:p>
        </w:tc>
        <w:tc>
          <w:tcPr>
            <w:tcW w:w="1518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84.7b</w:t>
            </w:r>
          </w:p>
        </w:tc>
      </w:tr>
      <w:tr>
        <w:tc>
          <w:tcPr>
            <w:tcW w:w="1789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5</w:t>
            </w:r>
          </w:p>
        </w:tc>
        <w:tc>
          <w:tcPr>
            <w:tcW w:w="1381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7.0cd</w:t>
            </w:r>
          </w:p>
        </w:tc>
        <w:tc>
          <w:tcPr>
            <w:tcW w:w="1381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9.0bc</w:t>
            </w:r>
          </w:p>
        </w:tc>
        <w:tc>
          <w:tcPr>
            <w:tcW w:w="1538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0.63ab</w:t>
            </w:r>
          </w:p>
        </w:tc>
        <w:tc>
          <w:tcPr>
            <w:tcW w:w="1032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54.6a</w:t>
            </w:r>
          </w:p>
        </w:tc>
        <w:tc>
          <w:tcPr>
            <w:tcW w:w="937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3.0bc</w:t>
            </w:r>
          </w:p>
        </w:tc>
        <w:tc>
          <w:tcPr>
            <w:tcW w:w="1518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107.0ab</w:t>
            </w:r>
          </w:p>
        </w:tc>
      </w:tr>
      <w:tr>
        <w:tc>
          <w:tcPr>
            <w:tcW w:w="1789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10</w:t>
            </w:r>
          </w:p>
        </w:tc>
        <w:tc>
          <w:tcPr>
            <w:tcW w:w="1381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8.7c</w:t>
            </w:r>
          </w:p>
        </w:tc>
        <w:tc>
          <w:tcPr>
            <w:tcW w:w="1381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13.8ab</w:t>
            </w:r>
          </w:p>
        </w:tc>
        <w:tc>
          <w:tcPr>
            <w:tcW w:w="1538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0.83ab</w:t>
            </w:r>
          </w:p>
        </w:tc>
        <w:tc>
          <w:tcPr>
            <w:tcW w:w="1032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51.4bc</w:t>
            </w:r>
          </w:p>
        </w:tc>
        <w:tc>
          <w:tcPr>
            <w:tcW w:w="937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6.0bc</w:t>
            </w:r>
          </w:p>
        </w:tc>
        <w:tc>
          <w:tcPr>
            <w:tcW w:w="1518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277.3ab</w:t>
            </w:r>
          </w:p>
        </w:tc>
      </w:tr>
      <w:tr>
        <w:tc>
          <w:tcPr>
            <w:tcW w:w="1789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single" w:sz="4" w:space="0" w:color="000000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20</w:t>
            </w:r>
          </w:p>
        </w:tc>
        <w:tc>
          <w:tcPr>
            <w:tcW w:w="1381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single" w:sz="4" w:space="0" w:color="000000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9.7bc</w:t>
            </w:r>
          </w:p>
        </w:tc>
        <w:tc>
          <w:tcPr>
            <w:tcW w:w="1381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single" w:sz="4" w:space="0" w:color="000000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14.6a</w:t>
            </w:r>
          </w:p>
        </w:tc>
        <w:tc>
          <w:tcPr>
            <w:tcW w:w="1538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single" w:sz="4" w:space="0" w:color="000000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0.84ab</w:t>
            </w:r>
          </w:p>
        </w:tc>
        <w:tc>
          <w:tcPr>
            <w:tcW w:w="1032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single" w:sz="4" w:space="0" w:color="000000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49.2bc</w:t>
            </w:r>
          </w:p>
        </w:tc>
        <w:tc>
          <w:tcPr>
            <w:tcW w:w="937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single" w:sz="4" w:space="0" w:color="000000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6.7bc</w:t>
            </w:r>
          </w:p>
        </w:tc>
        <w:tc>
          <w:tcPr>
            <w:tcW w:w="1518" w:type="dxa"/>
            <w:tcMar>
              <w:left w:w="99" w:type="dxa"/>
              <w:right w:w="99" w:type="dxa"/>
              <w:top w:w="0" w:type="dxa"/>
              <w:bottom w:w="0" w:type="dxa"/>
            </w:tcMar>
            <w:tcBorders>
              <w:top w:val="nil"/>
              <w:left w:val="nil"/>
              <w:bottom w:val="single" w:sz="4" w:space="0" w:color="000000"/>
              <w:right w:val="nil"/>
            </w:tcBorders>
          </w:tcPr>
          <w:p>
            <w:pPr>
              <w:pStyle w:val="Para2"/>
              <w:spacing w:line="240" w:lineRule="auto"/>
              <w:ind w:left="0" w:hanging="0"/>
              <w:rPr>
                <w:sz w:val="22"/>
                <w:szCs w:val="22"/>
                <w:sz w:val="22"/>
                <w:szCs w:val="22"/>
                <w:rFonts w:ascii="Times New Roman" w:eastAsia="Times New Roman" w:hAnsi="Times New Roman"/>
              </w:rPr>
            </w:pPr>
            <w:r>
              <w:rPr>
                <w:rStyle w:val="Character11"/>
                <w:sz w:val="22"/>
                <w:szCs w:val="22"/>
              </w:rPr>
              <w:t>334.7a</w:t>
            </w:r>
          </w:p>
        </w:tc>
      </w:tr>
    </w:tbl>
    <w:p>
      <w:pPr>
        <w:pStyle w:val="Para5"/>
        <w:spacing w:line="276" w:lineRule="auto" w:after="200"/>
        <w:ind w:left="0" w:hanging="0"/>
        <w:rPr>
          <w:sz w:val="22"/>
          <w:szCs w:val="22"/>
          <w:sz w:val="22"/>
          <w:szCs w:val="22"/>
          <w:rFonts w:ascii="Calibri" w:eastAsia="Calibri" w:hAnsi="Calibri"/>
        </w:rPr>
      </w:pPr>
    </w:p>
    <w:p>
      <w:pPr>
        <w:pStyle w:val="Para5"/>
        <w:spacing w:line="276" w:lineRule="auto" w:after="200"/>
        <w:ind w:left="0" w:hanging="0"/>
        <w:rPr>
          <w:sz w:val="22"/>
          <w:szCs w:val="22"/>
          <w:sz w:val="22"/>
          <w:szCs w:val="22"/>
          <w:rFonts w:ascii="Calibri" w:eastAsia="Calibri" w:hAnsi="Calibri"/>
        </w:rPr>
      </w:pPr>
    </w:p>
    <w:p>
      <w:pPr>
        <w:pStyle w:val="Para0"/>
        <w:spacing w:line="276" w:lineRule="auto" w:after="200"/>
        <w:ind w:left="0" w:hanging="0"/>
        <w:rPr>
          <w:b/>
          <w:sz w:val="22"/>
          <w:szCs w:val="22"/>
          <w:sz w:val="22"/>
          <w:szCs w:val="22"/>
          <w:rFonts w:ascii="Times New Roman" w:eastAsia="Times New Roman" w:hAnsi="Times New Roman"/>
        </w:rPr>
      </w:pPr>
      <w:r>
        <w:rPr>
          <w:rStyle w:val="Character15"/>
          <w:b/>
          <w:sz w:val="22"/>
          <w:szCs w:val="22"/>
        </w:rPr>
        <w:t xml:space="preserve">Recent Publications</w:t>
      </w:r>
    </w:p>
    <w:p>
      <w:pPr>
        <w:pStyle w:val="Para8"/>
        <w:spacing w:line="240" w:lineRule="auto"/>
        <w:ind w:right="-900" w:firstLine="0"/>
        <w:rPr>
          <w:sz w:val="24"/>
          <w:szCs w:val="24"/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1. Olasantan, F.O. and </w:t>
      </w:r>
      <w:r>
        <w:rPr>
          <w:rStyle w:val="Character4"/>
          <w:b/>
          <w:sz w:val="24"/>
          <w:szCs w:val="24"/>
        </w:rPr>
        <w:t xml:space="preserve">Babalola, O.A. </w:t>
      </w:r>
      <w:r>
        <w:rPr>
          <w:rStyle w:val="Character3"/>
          <w:sz w:val="24"/>
          <w:szCs w:val="24"/>
        </w:rPr>
        <w:t xml:space="preserve">(2007) Effects of intercropping and melon sowing date on crop   </w:t>
      </w:r>
      <w:r>
        <w:rPr>
          <w:rStyle w:val="Character3"/>
          <w:sz w:val="24"/>
          <w:szCs w:val="24"/>
        </w:rPr>
        <w:t xml:space="preserve">growth, soil micro-environment and rhizosphere fungi and bacterial populations of maize and cassava </w:t>
      </w:r>
      <w:r>
        <w:rPr>
          <w:rStyle w:val="Character16"/>
          <w:i/>
          <w:b/>
          <w:sz w:val="24"/>
          <w:szCs w:val="24"/>
        </w:rPr>
        <w:t xml:space="preserve">Biological Agriculture and Horticulture</w:t>
      </w:r>
      <w:r>
        <w:rPr>
          <w:rStyle w:val="Character3"/>
          <w:sz w:val="24"/>
          <w:szCs w:val="24"/>
        </w:rPr>
        <w:t xml:space="preserve">, 24: 415-436 </w:t>
      </w:r>
    </w:p>
    <w:p>
      <w:pPr>
        <w:pStyle w:val="Para8"/>
        <w:spacing w:line="240" w:lineRule="auto"/>
        <w:ind w:right="-900" w:firstLine="0"/>
        <w:rPr>
          <w:sz w:val="24"/>
          <w:szCs w:val="24"/>
          <w:sz w:val="24"/>
          <w:szCs w:val="24"/>
          <w:rFonts w:ascii="Times New Roman" w:eastAsia="Times New Roman" w:hAnsi="Times New Roman"/>
        </w:rPr>
      </w:pPr>
    </w:p>
    <w:p>
      <w:pPr>
        <w:pStyle w:val="Para8"/>
        <w:spacing w:line="240" w:lineRule="auto"/>
        <w:ind w:right="-900" w:firstLine="0"/>
        <w:rPr>
          <w:sz w:val="24"/>
          <w:szCs w:val="24"/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2. </w:t>
      </w:r>
      <w:r>
        <w:rPr>
          <w:rStyle w:val="Character4"/>
          <w:b/>
          <w:sz w:val="24"/>
          <w:szCs w:val="24"/>
        </w:rPr>
        <w:t xml:space="preserve">Babalola, O.A.,</w:t>
      </w:r>
      <w:r>
        <w:rPr>
          <w:rStyle w:val="Character3"/>
          <w:sz w:val="24"/>
          <w:szCs w:val="24"/>
        </w:rPr>
        <w:t xml:space="preserve"> Adesudun, J.K., Olasantan, F.O and Adekunle, A.F. (2012) Responses of some soil </w:t>
      </w:r>
      <w:r>
        <w:rPr>
          <w:rStyle w:val="Character3"/>
          <w:sz w:val="24"/>
          <w:szCs w:val="24"/>
        </w:rPr>
        <w:t xml:space="preserve">biological, chemical and physical properties to short-term compost amendment </w:t>
      </w:r>
      <w:r>
        <w:rPr>
          <w:rStyle w:val="Character16"/>
          <w:i/>
          <w:b/>
          <w:sz w:val="24"/>
          <w:szCs w:val="24"/>
        </w:rPr>
        <w:t xml:space="preserve">Int. J of Soil Sc.</w:t>
      </w:r>
      <w:r>
        <w:rPr>
          <w:rStyle w:val="Character3"/>
          <w:sz w:val="24"/>
          <w:szCs w:val="24"/>
        </w:rPr>
        <w:t xml:space="preserve"> 7 (1): 28-</w:t>
      </w:r>
      <w:r>
        <w:rPr>
          <w:rStyle w:val="Character3"/>
          <w:sz w:val="24"/>
          <w:szCs w:val="24"/>
        </w:rPr>
        <w:t>38</w:t>
      </w:r>
    </w:p>
    <w:p>
      <w:pPr>
        <w:pStyle w:val="Para8"/>
        <w:spacing w:line="240" w:lineRule="auto"/>
        <w:ind w:right="-900" w:firstLine="0"/>
        <w:rPr>
          <w:sz w:val="24"/>
          <w:szCs w:val="24"/>
          <w:sz w:val="24"/>
          <w:szCs w:val="24"/>
          <w:rFonts w:ascii="Times New Roman" w:eastAsia="Times New Roman" w:hAnsi="Times New Roman"/>
        </w:rPr>
      </w:pPr>
    </w:p>
    <w:p>
      <w:pPr>
        <w:pStyle w:val="Para8"/>
        <w:spacing w:line="240" w:lineRule="auto"/>
        <w:ind w:right="-900" w:firstLine="0"/>
        <w:rPr>
          <w:sz w:val="24"/>
          <w:szCs w:val="24"/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3. Popoola A, Ganiyu S, Babalola O, Ayo-John E, Fajinmi A, Adedibu B and Adegboye T (2014) Impact </w:t>
      </w:r>
      <w:r>
        <w:rPr>
          <w:rStyle w:val="Character3"/>
          <w:sz w:val="24"/>
          <w:szCs w:val="24"/>
        </w:rPr>
        <w:t xml:space="preserve">of soil amendment and weather factors on bacterial wilt and yield of two tomato cultivars in Abeokuta, </w:t>
      </w:r>
      <w:r>
        <w:rPr>
          <w:rStyle w:val="Character3"/>
          <w:sz w:val="24"/>
          <w:szCs w:val="24"/>
        </w:rPr>
        <w:t xml:space="preserve">Nigeria. </w:t>
      </w:r>
      <w:r>
        <w:rPr>
          <w:rStyle w:val="Character17"/>
          <w:i/>
          <w:sz w:val="24"/>
          <w:szCs w:val="24"/>
        </w:rPr>
        <w:t xml:space="preserve">South African Journal of Plant and Soil</w:t>
      </w:r>
      <w:r>
        <w:rPr>
          <w:rStyle w:val="Character3"/>
          <w:sz w:val="24"/>
          <w:szCs w:val="24"/>
        </w:rPr>
        <w:t xml:space="preserve"> 31(4) 195-201.</w:t>
      </w:r>
    </w:p>
    <w:p>
      <w:pPr>
        <w:pStyle w:val="Para8"/>
        <w:spacing w:line="240" w:lineRule="auto"/>
        <w:ind w:right="-900" w:firstLine="0"/>
        <w:rPr>
          <w:sz w:val="24"/>
          <w:szCs w:val="24"/>
          <w:sz w:val="24"/>
          <w:szCs w:val="24"/>
          <w:rFonts w:ascii="Times New Roman" w:eastAsia="Times New Roman" w:hAnsi="Times New Roman"/>
        </w:rPr>
      </w:pPr>
    </w:p>
    <w:p>
      <w:pPr>
        <w:pStyle w:val="Para8"/>
        <w:spacing w:line="240" w:lineRule="auto"/>
        <w:ind w:right="-900" w:firstLine="0"/>
        <w:rPr>
          <w:sz w:val="24"/>
          <w:szCs w:val="24"/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4. Babalola O.A and Adigun M.O. (2013) Effect of pig dung and poultry manure composted with plant </w:t>
      </w:r>
      <w:r>
        <w:rPr>
          <w:rStyle w:val="Character3"/>
          <w:sz w:val="24"/>
          <w:szCs w:val="24"/>
        </w:rPr>
        <w:t xml:space="preserve">residues on the production of some fruit vegetable. </w:t>
      </w:r>
      <w:r>
        <w:rPr>
          <w:rStyle w:val="Character17"/>
          <w:i/>
          <w:sz w:val="24"/>
          <w:szCs w:val="24"/>
        </w:rPr>
        <w:t xml:space="preserve">International Multidisciplinary Research Journal</w:t>
      </w:r>
      <w:r>
        <w:rPr>
          <w:rStyle w:val="Character3"/>
          <w:sz w:val="24"/>
          <w:szCs w:val="24"/>
        </w:rPr>
        <w:t xml:space="preserve"> 3 (2): </w:t>
      </w:r>
      <w:r>
        <w:rPr>
          <w:rStyle w:val="Character3"/>
          <w:sz w:val="24"/>
          <w:szCs w:val="24"/>
        </w:rPr>
        <w:t>32-35.</w:t>
      </w:r>
    </w:p>
    <w:p>
      <w:pPr>
        <w:pStyle w:val="Para8"/>
        <w:spacing w:line="240" w:lineRule="auto"/>
        <w:ind w:right="-900" w:firstLine="0"/>
        <w:rPr>
          <w:sz w:val="24"/>
          <w:szCs w:val="24"/>
          <w:sz w:val="24"/>
          <w:szCs w:val="24"/>
          <w:rFonts w:ascii="Times New Roman" w:eastAsia="Times New Roman" w:hAnsi="Times New Roman"/>
        </w:rPr>
      </w:pPr>
    </w:p>
    <w:p>
      <w:pPr>
        <w:pStyle w:val="Para8"/>
        <w:spacing w:line="240" w:lineRule="auto"/>
        <w:ind w:right="-900" w:firstLine="0"/>
        <w:rPr>
          <w:sz w:val="24"/>
          <w:szCs w:val="24"/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5. M.O. Adigun and O.A. Babalola (2016) Dynamics of nitrogen on soybean field amended with poultry </w:t>
      </w:r>
      <w:r>
        <w:rPr>
          <w:rStyle w:val="Character3"/>
          <w:sz w:val="24"/>
          <w:szCs w:val="24"/>
        </w:rPr>
        <w:t xml:space="preserve">manure. British Microbiology Research Journal 16 (6): 1-10.</w:t>
      </w:r>
    </w:p>
    <w:p>
      <w:pPr>
        <w:pStyle w:val="Para8"/>
        <w:spacing w:line="240" w:lineRule="auto"/>
        <w:ind w:right="-900" w:firstLine="0"/>
        <w:rPr>
          <w:sz w:val="24"/>
          <w:szCs w:val="24"/>
          <w:sz w:val="24"/>
          <w:szCs w:val="24"/>
          <w:rFonts w:ascii="Times New Roman" w:eastAsia="Times New Roman" w:hAnsi="Times New Roman"/>
        </w:rPr>
      </w:pPr>
    </w:p>
    <w:p>
      <w:pPr>
        <w:pStyle w:val="Para8"/>
        <w:spacing w:line="240" w:lineRule="auto"/>
        <w:ind w:right="-900" w:firstLine="0"/>
        <w:rPr>
          <w:sz w:val="24"/>
          <w:szCs w:val="24"/>
          <w:sz w:val="24"/>
          <w:szCs w:val="24"/>
          <w:rFonts w:ascii="Times New Roman" w:eastAsia="Times New Roman" w:hAnsi="Times New Roman"/>
        </w:rPr>
      </w:pPr>
    </w:p>
    <w:p>
      <w:pPr>
        <w:pStyle w:val="Para8"/>
        <w:spacing w:line="240" w:lineRule="auto"/>
        <w:ind w:right="-900" w:firstLine="0"/>
        <w:rPr>
          <w:b/>
          <w:sz w:val="24"/>
          <w:szCs w:val="24"/>
          <w:sz w:val="24"/>
          <w:szCs w:val="24"/>
          <w:rFonts w:ascii="Times New Roman" w:eastAsia="Times New Roman" w:hAnsi="Times New Roman"/>
        </w:rPr>
      </w:pPr>
      <w:r>
        <w:rPr>
          <w:rStyle w:val="Character4"/>
          <w:b/>
          <w:sz w:val="24"/>
          <w:szCs w:val="24"/>
        </w:rPr>
        <w:t>Biography</w:t>
      </w:r>
    </w:p>
    <w:p>
      <w:pPr>
        <w:pStyle w:val="Para8"/>
        <w:spacing w:line="240" w:lineRule="auto"/>
        <w:ind w:right="-900" w:firstLine="0"/>
        <w:rPr>
          <w:sz w:val="24"/>
          <w:szCs w:val="24"/>
          <w:sz w:val="24"/>
          <w:szCs w:val="24"/>
          <w:rFonts w:ascii="Times New Roman" w:eastAsia="Times New Roman" w:hAnsi="Times New Roman"/>
        </w:rPr>
      </w:pPr>
    </w:p>
    <w:p>
      <w:pPr>
        <w:pStyle w:val="Para8"/>
        <w:spacing w:line="240" w:lineRule="auto"/>
        <w:ind w:right="-900" w:firstLine="0"/>
        <w:rPr>
          <w:sz w:val="24"/>
          <w:szCs w:val="24"/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Oluwatoyin Babalola has degrees in Microbiology (BSc. and MSc.) and Soil Science (PhD). She has over </w:t>
      </w:r>
      <w:r>
        <w:rPr>
          <w:rStyle w:val="Character3"/>
          <w:sz w:val="24"/>
          <w:szCs w:val="24"/>
        </w:rPr>
        <w:t xml:space="preserve">twenty years of university teaching and research experience. She lectures courses relating to soil and </w:t>
      </w:r>
      <w:r>
        <w:rPr>
          <w:rStyle w:val="Character3"/>
          <w:sz w:val="24"/>
          <w:szCs w:val="24"/>
        </w:rPr>
        <w:t xml:space="preserve">environmental microbiology and biochemistry. Her research interests cover soil fertility, Arbuscular </w:t>
      </w:r>
      <w:r>
        <w:rPr>
          <w:rStyle w:val="Character3"/>
          <w:sz w:val="24"/>
          <w:szCs w:val="24"/>
        </w:rPr>
        <w:t xml:space="preserve">mycorrhizal fungi, biological nitrogen fixation and organic crop production systems. Many of her research </w:t>
      </w:r>
      <w:r>
        <w:rPr>
          <w:rStyle w:val="Character3"/>
          <w:sz w:val="24"/>
          <w:szCs w:val="24"/>
        </w:rPr>
        <w:t xml:space="preserve">results have been published in national and international journals. She has supervised many undergraduate </w:t>
      </w:r>
      <w:r>
        <w:rPr>
          <w:rStyle w:val="Character3"/>
          <w:sz w:val="24"/>
          <w:szCs w:val="24"/>
        </w:rPr>
        <w:t xml:space="preserve">and postgraduate students. She is a Professor of Soil Microbiology and Biochemistry.</w:t>
      </w:r>
    </w:p>
    <w:p>
      <w:pPr>
        <w:pStyle w:val="Para1"/>
        <w:spacing w:line="240" w:lineRule="auto" w:after="200"/>
        <w:ind w:left="0" w:hanging="0"/>
        <w:rPr>
          <w:sz w:val="24"/>
          <w:szCs w:val="24"/>
          <w:sz w:val="24"/>
          <w:szCs w:val="24"/>
          <w:rFonts w:ascii="Times New Roman" w:eastAsia="Times New Roman" w:hAnsi="Times New Roman"/>
        </w:rPr>
      </w:pPr>
    </w:p>
    <w:p>
      <w:pPr>
        <w:pStyle w:val="Para1"/>
        <w:spacing w:line="240" w:lineRule="auto" w:after="200"/>
        <w:ind w:left="0" w:hanging="0"/>
        <w:rPr>
          <w:sz w:val="24"/>
          <w:szCs w:val="24"/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E-mail: </w:t>
      </w:r>
      <w:hyperlink r:id="rId5">
        <w:r>
          <w:rPr>
            <w:rStyle w:val="Character20"/>
            <w:color w:val="0000FF"/>
            <w:sz w:val="24"/>
            <w:szCs w:val="24"/>
          </w:rPr>
          <w:t>bimbola05@yahoo.com</w:t>
        </w:r>
      </w:hyperlink>
    </w:p>
    <w:p>
      <w:pPr>
        <w:pStyle w:val="Para8"/>
        <w:spacing w:line="240" w:lineRule="auto"/>
        <w:ind w:right="-900" w:firstLine="0"/>
        <w:rPr>
          <w:sz w:val="24"/>
          <w:szCs w:val="24"/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    </w:t>
      </w:r>
    </w:p>
    <w:p>
      <w:pPr>
        <w:pStyle w:val="Para8"/>
        <w:spacing w:line="240" w:lineRule="auto"/>
        <w:ind w:right="-900" w:firstLine="0"/>
        <w:rPr>
          <w:sz w:val="24"/>
          <w:szCs w:val="24"/>
          <w:sz w:val="24"/>
          <w:szCs w:val="24"/>
          <w:rFonts w:ascii="Times New Roman" w:eastAsia="Times New Roman" w:hAnsi="Times New Roman"/>
        </w:rPr>
      </w:pPr>
      <w:r>
        <w:rPr>
          <w:rStyle w:val="Character3"/>
          <w:sz w:val="24"/>
          <w:szCs w:val="24"/>
        </w:rPr>
        <w:t xml:space="preserve"> </w:t>
      </w:r>
    </w:p>
    <w:p>
      <w:pPr>
        <w:pStyle w:val="Para5"/>
        <w:spacing w:line="276" w:lineRule="auto" w:after="200"/>
        <w:ind w:left="0" w:hanging="0"/>
        <w:rPr>
          <w:sz w:val="22"/>
          <w:szCs w:val="22"/>
          <w:sz w:val="22"/>
          <w:szCs w:val="22"/>
          <w:rFonts w:ascii="Calibri" w:eastAsia="Calibri" w:hAnsi="Calibri"/>
        </w:rPr>
      </w:pPr>
    </w:p>
    <w:sectPr>
      <w:pgSz w:w="12240" w:h="15840"/>
      <w:pgMar w:top="1440" w:right="1440" w:bottom="1440" w:left="1440" w:header="720" w:footer="720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"/>
    <w:family w:val="mordern"/>
    <w:pitch w:val="variable"/>
    <w:sig w:usb0="A00002EF" w:usb1="4000207B" w:usb2="00000000" w:usb3="00000000" w:csb0="0000009F" w:csb1="00000000"/>
  </w:font>
  <w:font w:name="Times New Roman">
    <w:panose1 w:val="020F0502020204030204"/>
    <w:charset w:val="0"/>
    <w:family w:val="mordern"/>
    <w:pitch w:val="variable"/>
    <w:sig w:usb0="A00002EF" w:usb1="4000207B" w:usb2="00000000" w:usb3="00000000" w:csb0="0000009F" w:csb1="00000000"/>
  </w:font>
  <w:font w:name="Cambria">
    <w:panose1 w:val="020F0502020204030204"/>
    <w:charset w:val="0"/>
    <w:family w:val="mordern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noPunctuationKerning/>
  <w:characterSpacingControl w:val="doNotCompress"/>
  <w:bordersDoNotSurroundHeader/>
  <w:bordersDoNotSurroundFooter/>
  <w:compat>
    <w:useFELayout/>
    <w:compatSetting w:name="compatibilityMode" w:uri="http://schemas.microsoft.com/office/word" w:val="14"/>
  </w:compat>
  <m:mathPr>
    <m:mathFont m:value="Cambria Math"/>
    <m:brkBin m:value="before"/>
    <m:brkBinSub m:value="--"/>
    <m:smallFrac m:value="off"/>
    <m:dispDef/>
    <m:lMargin m:value="0"/>
    <m:rMargin m:value="0"/>
    <m:defJc m:value="centerGroup"/>
    <m:wrapIndent m:value="1440"/>
    <m:intLim m:value="subSup"/>
    <m:naryLim m:value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pPrDefault>
      <w:pPr/>
    </w:pPrDefault>
    <w:rPrDefault>
      <w:rPr>
        <w:rFonts w:ascii="Times New Roman" w:hAnsi="Times New Roman" w:eastAsia="바탕" w:cs="Times New Roman"/>
      </w:rPr>
    </w:rPrDefault>
  </w:docDefaults>
  <w:style w:type="paragraph" w:styleId="a" w:default="1">
    <w:name w:val="Normal"/>
    <w:pPr>
      <w:autoSpaceDE w:val="off"/>
      <w:autoSpaceDN w:val="off"/>
      <w:jc w:val="both"/>
      <w:widowControl w:val="off"/>
      <w:wordWrap w:val="off"/>
    </w:pPr>
    <w:rPr>
      <w:kern w:val="2"/>
      <w:lang w:val="en-US" w:eastAsia="ko-KR" w:bidi="ar-SA"/>
      <w:rFonts w:ascii="바탕" w:eastAsia="바탕"/>
    </w:rPr>
  </w:style>
  <w:style w:type="character" w:styleId="a0" w:default="1">
    <w:name w:val="Default Paragraph Font"/>
    <w:rPr/>
  </w:style>
  <w:style w:type="table" w:styleId="a1" w:default="1">
    <w:name w:val="Default Tabl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customStyle="1" w:styleId="Para0">
    <w:name w:val="ParaAttribute0"/>
    <w:pPr>
      <w:spacing w:after="200"/>
      <w:jc w:val="left"/>
      <w:wordWrap w:val="false"/>
      <w:ind w:left="0" w:hanging="0"/>
      <w:rPr/>
    </w:pPr>
  </w:style>
  <w:style w:type="paragraph" w:customStyle="1" w:styleId="Para1">
    <w:name w:val="ParaAttribute1"/>
    <w:pPr>
      <w:spacing w:after="200"/>
      <w:jc w:val="left"/>
      <w:wordWrap w:val="false"/>
      <w:ind w:left="0" w:hanging="0"/>
      <w:rPr/>
    </w:pPr>
  </w:style>
  <w:style w:type="paragraph" w:customStyle="1" w:styleId="Para2">
    <w:name w:val="ParaAttribute2"/>
    <w:pPr>
      <w:jc w:val="left"/>
      <w:wordWrap w:val="false"/>
      <w:ind w:left="0" w:hanging="0"/>
      <w:rPr/>
    </w:pPr>
  </w:style>
  <w:style w:type="paragraph" w:customStyle="1" w:styleId="Para3">
    <w:name w:val="ParaAttribute3"/>
    <w:pPr>
      <w:spacing w:after="200"/>
      <w:jc w:val="both"/>
      <w:wordWrap w:val="false"/>
      <w:ind w:left="0" w:hanging="0"/>
      <w:rPr/>
    </w:pPr>
  </w:style>
  <w:style w:type="paragraph" w:customStyle="1" w:styleId="Para4">
    <w:name w:val="ParaAttribute4"/>
    <w:pPr>
      <w:spacing w:after="200"/>
      <w:jc w:val="both"/>
      <w:wordWrap w:val="false"/>
      <w:ind w:left="0" w:hanging="0"/>
      <w:rPr/>
    </w:pPr>
  </w:style>
  <w:style w:type="paragraph" w:customStyle="1" w:styleId="Para5">
    <w:name w:val="ParaAttribute5"/>
    <w:pPr>
      <w:spacing w:after="200"/>
      <w:jc w:val="left"/>
      <w:wordWrap w:val="false"/>
      <w:ind w:left="0" w:hanging="0"/>
      <w:widowControl w:val="false"/>
      <w:rPr/>
    </w:pPr>
  </w:style>
  <w:style w:type="paragraph" w:customStyle="1" w:styleId="Para6">
    <w:name w:val="ParaAttribute6"/>
    <w:pPr>
      <w:spacing w:after="200"/>
      <w:jc w:val="left"/>
      <w:wordWrap w:val="false"/>
      <w:ind w:left="0" w:hanging="0"/>
      <w:rPr/>
    </w:pPr>
  </w:style>
  <w:style w:type="paragraph" w:customStyle="1" w:styleId="Para7">
    <w:name w:val="ParaAttribute7"/>
    <w:pPr>
      <w:spacing w:after="200"/>
      <w:jc w:val="left"/>
      <w:wordWrap w:val="false"/>
      <w:ind w:left="0" w:hanging="0"/>
      <w:rPr/>
    </w:pPr>
  </w:style>
  <w:style w:type="paragraph" w:customStyle="1" w:styleId="Para8">
    <w:name w:val="ParaAttribute8"/>
    <w:pPr>
      <w:jc w:val="both"/>
      <w:wordWrap w:val="false"/>
      <w:ind w:right="-900" w:firstLine="0"/>
      <w:rPr/>
    </w:pPr>
  </w:style>
  <w:style w:type="paragraph" w:customStyle="1" w:styleId="Para9">
    <w:name w:val="ParaAttribute9"/>
    <w:pPr>
      <w:jc w:val="left"/>
      <w:wordWrap w:val="false"/>
      <w:ind w:left="0" w:hanging="0"/>
      <w:widowControl w:val="false"/>
      <w:rPr/>
    </w:pPr>
  </w:style>
  <w:style w:type="paragraph" w:customStyle="1" w:styleId="Para10">
    <w:name w:val="ParaAttribute10"/>
    <w:pPr>
      <w:jc w:val="left"/>
      <w:wordWrap w:val="false"/>
      <w:ind w:left="0" w:hanging="0"/>
      <w:widowControl w:val="false"/>
      <w:rPr/>
    </w:pPr>
  </w:style>
  <w:style w:type="paragraph" w:customStyle="1" w:styleId="Para11">
    <w:name w:val="ParaAttribute11"/>
    <w:pPr>
      <w:jc w:val="left"/>
      <w:wordWrap w:val="false"/>
      <w:ind w:left="0" w:hanging="0"/>
      <w:widowControl w:val="false"/>
      <w:rPr/>
    </w:pPr>
  </w:style>
  <w:style w:type="paragraph" w:customStyle="1" w:styleId="Para12">
    <w:name w:val="ParaAttribute12"/>
    <w:pPr>
      <w:jc w:val="left"/>
      <w:wordWrap w:val="false"/>
      <w:ind w:left="0" w:hanging="0"/>
      <w:widowControl w:val="false"/>
      <w:rPr/>
    </w:pPr>
  </w:style>
  <w:style w:type="paragraph" w:customStyle="1" w:styleId="Para13">
    <w:name w:val="ParaAttribute13"/>
    <w:pPr>
      <w:jc w:val="left"/>
      <w:wordWrap w:val="false"/>
      <w:ind w:left="0" w:hanging="0"/>
      <w:widowControl w:val="false"/>
      <w:rPr/>
    </w:pPr>
  </w:style>
  <w:style w:type="paragraph" w:customStyle="1" w:styleId="Para14">
    <w:name w:val="ParaAttribute14"/>
    <w:pPr>
      <w:jc w:val="left"/>
      <w:wordWrap w:val="false"/>
      <w:ind w:left="0" w:hanging="0"/>
      <w:widowControl w:val="false"/>
      <w:rPr/>
    </w:pPr>
  </w:style>
  <w:style w:type="character" w:customStyle="1" w:styleId="Character0">
    <w:name w:val="CharAttribute0"/>
    <w:rPr>
      <w:rFonts w:ascii="Times New Roman" w:eastAsia="Times New Roman"/>
      <w:b/>
      <w:sz w:val="28"/>
    </w:rPr>
  </w:style>
  <w:style w:type="character" w:customStyle="1" w:styleId="Character1">
    <w:name w:val="CharAttribute1"/>
    <w:rPr>
      <w:rFonts w:ascii="Times New Roman" w:eastAsia="Times New Roman"/>
      <w:b/>
      <w:sz w:val="28"/>
    </w:rPr>
  </w:style>
  <w:style w:type="character" w:customStyle="1" w:styleId="Character2">
    <w:name w:val="CharAttribute2"/>
    <w:rPr>
      <w:rFonts w:ascii="Times New Roman" w:eastAsia="Times New Roman"/>
      <w:sz w:val="24"/>
    </w:rPr>
  </w:style>
  <w:style w:type="character" w:customStyle="1" w:styleId="Character3">
    <w:name w:val="CharAttribute3"/>
    <w:rPr>
      <w:rFonts w:ascii="Times New Roman" w:eastAsia="Times New Roman"/>
      <w:sz w:val="24"/>
    </w:rPr>
  </w:style>
  <w:style w:type="character" w:customStyle="1" w:styleId="Character4">
    <w:name w:val="CharAttribute4"/>
    <w:rPr>
      <w:rFonts w:ascii="Times New Roman" w:eastAsia="Times New Roman"/>
      <w:b/>
      <w:sz w:val="24"/>
    </w:rPr>
  </w:style>
  <w:style w:type="character" w:customStyle="1" w:styleId="Character5">
    <w:name w:val="CharAttribute5"/>
    <w:rPr>
      <w:rFonts w:ascii="Times New Roman" w:eastAsia="Times New Roman"/>
      <w:b/>
      <w:sz w:val="24"/>
    </w:rPr>
  </w:style>
  <w:style w:type="character" w:customStyle="1" w:styleId="Character6">
    <w:name w:val="CharAttribute6"/>
    <w:rPr>
      <w:rFonts w:ascii="Times New Roman" w:eastAsia="Times New Roman"/>
      <w:vertAlign w:val="superscript"/>
      <w:sz w:val="24"/>
    </w:rPr>
  </w:style>
  <w:style w:type="character" w:customStyle="1" w:styleId="Character7">
    <w:name w:val="CharAttribute7"/>
    <w:rPr>
      <w:rFonts w:ascii="Calibri" w:eastAsia="Calibri"/>
      <w:sz w:val="22"/>
    </w:rPr>
  </w:style>
  <w:style w:type="character" w:customStyle="1" w:styleId="Character8">
    <w:name w:val="CharAttribute8"/>
    <w:rPr>
      <w:rFonts w:ascii="Calibri" w:eastAsia="Calibri"/>
      <w:sz w:val="22"/>
    </w:rPr>
  </w:style>
  <w:style w:type="character" w:customStyle="1" w:styleId="Character9">
    <w:name w:val="CharAttribute9"/>
    <w:rPr>
      <w:rFonts w:ascii="Calibri" w:eastAsia="Calibri"/>
      <w:sz w:val="22"/>
    </w:rPr>
  </w:style>
  <w:style w:type="character" w:customStyle="1" w:styleId="Character10">
    <w:name w:val="CharAttribute10"/>
    <w:rPr>
      <w:rFonts w:ascii="Times New Roman" w:eastAsia="Times New Roman"/>
      <w:sz w:val="22"/>
    </w:rPr>
  </w:style>
  <w:style w:type="character" w:customStyle="1" w:styleId="Character11">
    <w:name w:val="CharAttribute11"/>
    <w:rPr>
      <w:rFonts w:ascii="Times New Roman" w:eastAsia="Times New Roman"/>
      <w:sz w:val="22"/>
    </w:rPr>
  </w:style>
  <w:style w:type="character" w:customStyle="1" w:styleId="Character12">
    <w:name w:val="CharAttribute12"/>
    <w:rPr>
      <w:rFonts w:ascii="Times New Roman" w:eastAsia="Times New Roman"/>
      <w:vertAlign w:val="superscript"/>
      <w:sz w:val="22"/>
    </w:rPr>
  </w:style>
  <w:style w:type="character" w:customStyle="1" w:styleId="Character13">
    <w:name w:val="CharAttribute13"/>
    <w:rPr>
      <w:rFonts w:ascii="Times New Roman" w:eastAsia="Times New Roman"/>
      <w:b/>
      <w:sz w:val="28"/>
    </w:rPr>
  </w:style>
  <w:style w:type="character" w:customStyle="1" w:styleId="Character14">
    <w:name w:val="CharAttribute14"/>
    <w:rPr>
      <w:rFonts w:ascii="Times New Roman" w:eastAsia="Times New Roman"/>
      <w:b/>
      <w:sz w:val="22"/>
    </w:rPr>
  </w:style>
  <w:style w:type="character" w:customStyle="1" w:styleId="Character15">
    <w:name w:val="CharAttribute15"/>
    <w:rPr>
      <w:rFonts w:ascii="Times New Roman" w:eastAsia="Times New Roman"/>
      <w:b/>
      <w:sz w:val="22"/>
    </w:rPr>
  </w:style>
  <w:style w:type="character" w:customStyle="1" w:styleId="Character16">
    <w:name w:val="CharAttribute16"/>
    <w:rPr>
      <w:rFonts w:ascii="Times New Roman" w:eastAsia="Times New Roman"/>
      <w:i/>
      <w:b/>
      <w:sz w:val="24"/>
    </w:rPr>
  </w:style>
  <w:style w:type="character" w:customStyle="1" w:styleId="Character17">
    <w:name w:val="CharAttribute17"/>
    <w:rPr>
      <w:rFonts w:ascii="Times New Roman" w:eastAsia="Times New Roman"/>
      <w:i/>
      <w:sz w:val="24"/>
    </w:rPr>
  </w:style>
  <w:style w:type="character" w:customStyle="1" w:styleId="Character18">
    <w:name w:val="CharAttribute18"/>
    <w:rPr>
      <w:rFonts w:ascii="Times New Roman" w:eastAsia="Times New Roman"/>
      <w:u w:val="single"/>
      <w:color w:val="0000FF"/>
      <w:sz w:val="24"/>
    </w:rPr>
  </w:style>
  <w:style w:type="character" w:customStyle="1" w:styleId="Character19">
    <w:name w:val="CharAttribute19"/>
    <w:rPr>
      <w:rFonts w:ascii="Calibri" w:eastAsia="Calibri"/>
    </w:rPr>
  </w:style>
  <w:style w:type="character" w:customStyle="1" w:styleId="Character20">
    <w:name w:val="CharAttribute20"/>
    <w:rPr>
      <w:rFonts w:ascii="Times New Roman" w:eastAsia="Times New Roman"/>
      <w:u w:val="single"/>
      <w:color w:val="0000FF"/>
      <w:sz w:val="24"/>
    </w:rPr>
  </w:style>
  <w:style w:type="character" w:customStyle="1" w:styleId="Character21">
    <w:name w:val="CharAttribute21"/>
    <w:rPr>
      <w:rFonts w:ascii="Times New Roman" w:eastAsia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
<Relationships xmlns="http://schemas.openxmlformats.org/package/2006/relationships"><Relationship Id="rId1" Type="http://schemas.openxmlformats.org/officeDocument/2006/relationships/webSettings" Target="webSettings.xml"></Relationship><Relationship Id="rId2" Type="http://schemas.openxmlformats.org/officeDocument/2006/relationships/fontTable" Target="fontTable.xml"></Relationship><Relationship Id="rId3" Type="http://schemas.openxmlformats.org/officeDocument/2006/relationships/settings" Target="settings.xml"></Relationship><Relationship Id="rId4" Type="http://schemas.openxmlformats.org/officeDocument/2006/relationships/styles" Target="styles.xml"></Relationship><Relationship Id="rId5" Type="http://schemas.openxmlformats.org/officeDocument/2006/relationships/hyperlink" Target="mailto:bimbola05@yahoo.com" TargetMode="External"></Relationship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12.000</AppVersion>
  <Characters>4587</Characters>
  <CharactersWithSpaces>0</CharactersWithSpaces>
  <Company>Hewlett-Packard</Company>
  <DocSecurity>0</DocSecurity>
  <HyperlinksChanged>false</HyperlinksChanged>
  <Lines>32</Lines>
  <LinksUpToDate>false</LinksUpToDate>
  <Pages>3</Pages>
  <Paragraphs>9</Paragraphs>
  <Words>685</Words>
  <TotalTime>0</TotalTime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Title text</vt:lpstr>
    </vt:vector>
  </TitlesOfParts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:creator>Owner</dc:creator>
  <cp:lastModifiedBy>Owner</cp:lastModifiedBy>
  <dcterms:modified xsi:type="dcterms:W3CDTF">2016-10-28T19:25:00Z</dcterms:modified>
</cp:coreProperties>
</file>