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68F0" w:rsidRDefault="00AC68F0" w:rsidP="00AC68F0">
      <w:pPr>
        <w:spacing w:after="0" w:line="240" w:lineRule="auto"/>
        <w:jc w:val="center"/>
        <w:rPr>
          <w:b/>
          <w:bCs/>
          <w:sz w:val="28"/>
          <w:szCs w:val="28"/>
        </w:rPr>
      </w:pPr>
      <w:bookmarkStart w:id="0" w:name="_GoBack"/>
      <w:bookmarkEnd w:id="0"/>
      <w:r>
        <w:rPr>
          <w:b/>
          <w:bCs/>
          <w:sz w:val="28"/>
          <w:szCs w:val="28"/>
        </w:rPr>
        <w:t xml:space="preserve">ASSESSMENT </w:t>
      </w:r>
      <w:r w:rsidR="00F520D8">
        <w:rPr>
          <w:b/>
          <w:bCs/>
          <w:sz w:val="28"/>
          <w:szCs w:val="28"/>
        </w:rPr>
        <w:t>OF YIELD AND YIELD ATTRIBUTING CHARACTERS</w:t>
      </w:r>
      <w:r>
        <w:rPr>
          <w:b/>
          <w:bCs/>
          <w:sz w:val="28"/>
          <w:szCs w:val="28"/>
        </w:rPr>
        <w:t xml:space="preserve"> OF HY</w:t>
      </w:r>
      <w:r w:rsidRPr="00FC7018">
        <w:rPr>
          <w:b/>
          <w:bCs/>
          <w:sz w:val="28"/>
          <w:szCs w:val="28"/>
        </w:rPr>
        <w:t>BRID MAIZE USING NUTRIENT EXPERT</w:t>
      </w:r>
      <w:r w:rsidRPr="00FC7018">
        <w:rPr>
          <w:rFonts w:cs="Times New Roman"/>
          <w:b/>
          <w:bCs/>
          <w:sz w:val="28"/>
          <w:szCs w:val="28"/>
        </w:rPr>
        <w:t>®</w:t>
      </w:r>
      <w:r w:rsidRPr="00FC7018">
        <w:rPr>
          <w:b/>
          <w:bCs/>
          <w:sz w:val="28"/>
          <w:szCs w:val="28"/>
        </w:rPr>
        <w:t xml:space="preserve"> MAIZE MODEL IN EASTERN TERAI OF NEPAL</w:t>
      </w:r>
    </w:p>
    <w:p w:rsidR="00AC68F0" w:rsidRPr="00FC7018" w:rsidRDefault="00AC68F0" w:rsidP="00AC68F0">
      <w:pPr>
        <w:spacing w:after="0" w:line="240" w:lineRule="auto"/>
        <w:jc w:val="center"/>
        <w:rPr>
          <w:b/>
          <w:bCs/>
          <w:sz w:val="28"/>
          <w:szCs w:val="28"/>
        </w:rPr>
      </w:pPr>
    </w:p>
    <w:p w:rsidR="00AC68F0" w:rsidRDefault="00AC68F0" w:rsidP="00AC68F0">
      <w:pPr>
        <w:spacing w:after="0" w:line="240" w:lineRule="auto"/>
        <w:jc w:val="center"/>
        <w:rPr>
          <w:b/>
          <w:bCs/>
          <w:szCs w:val="24"/>
        </w:rPr>
      </w:pPr>
      <w:r>
        <w:rPr>
          <w:b/>
          <w:bCs/>
          <w:szCs w:val="24"/>
        </w:rPr>
        <w:t>S. Khanal* and L.P. Amgain</w:t>
      </w:r>
    </w:p>
    <w:p w:rsidR="00AC68F0" w:rsidRPr="00E35BF8" w:rsidRDefault="00AC68F0" w:rsidP="00AC68F0">
      <w:pPr>
        <w:spacing w:after="0" w:line="240" w:lineRule="auto"/>
        <w:jc w:val="center"/>
        <w:rPr>
          <w:b/>
          <w:bCs/>
          <w:szCs w:val="24"/>
        </w:rPr>
      </w:pPr>
      <w:r w:rsidRPr="00E35BF8">
        <w:rPr>
          <w:b/>
          <w:bCs/>
          <w:szCs w:val="24"/>
        </w:rPr>
        <w:t>Department of Agronomy</w:t>
      </w:r>
    </w:p>
    <w:p w:rsidR="00AC68F0" w:rsidRPr="00E35BF8" w:rsidRDefault="00AC68F0" w:rsidP="00AC68F0">
      <w:pPr>
        <w:spacing w:after="0" w:line="240" w:lineRule="auto"/>
        <w:jc w:val="center"/>
        <w:rPr>
          <w:rStyle w:val="Hyperlink"/>
          <w:b/>
          <w:bCs/>
          <w:szCs w:val="24"/>
        </w:rPr>
      </w:pPr>
      <w:r w:rsidRPr="00E35BF8">
        <w:rPr>
          <w:b/>
          <w:bCs/>
          <w:szCs w:val="24"/>
        </w:rPr>
        <w:t>Institute of Agriculture and Animal Science (IAAS), Lamjung Campus *</w:t>
      </w:r>
      <w:hyperlink r:id="rId7" w:history="1">
        <w:r w:rsidRPr="00E35BF8">
          <w:rPr>
            <w:rStyle w:val="Hyperlink"/>
            <w:b/>
            <w:bCs/>
            <w:szCs w:val="24"/>
          </w:rPr>
          <w:t>samjhanakhanal04@gmail.com</w:t>
        </w:r>
      </w:hyperlink>
    </w:p>
    <w:p w:rsidR="00AC68F0" w:rsidRPr="00AC68F0" w:rsidRDefault="00AC68F0" w:rsidP="00AC68F0">
      <w:pPr>
        <w:spacing w:after="0" w:line="240" w:lineRule="auto"/>
        <w:rPr>
          <w:rStyle w:val="Hyperlink"/>
          <w:b/>
          <w:bCs/>
          <w:color w:val="auto"/>
          <w:szCs w:val="24"/>
          <w:u w:val="none"/>
        </w:rPr>
      </w:pPr>
    </w:p>
    <w:p w:rsidR="00AC68F0" w:rsidRDefault="00AC68F0" w:rsidP="00AC68F0">
      <w:pPr>
        <w:spacing w:after="0" w:line="240" w:lineRule="auto"/>
        <w:jc w:val="center"/>
        <w:rPr>
          <w:rStyle w:val="Hyperlink"/>
          <w:b/>
          <w:bCs/>
          <w:color w:val="auto"/>
          <w:szCs w:val="24"/>
          <w:u w:val="none"/>
        </w:rPr>
      </w:pPr>
      <w:r w:rsidRPr="00E2555C">
        <w:rPr>
          <w:rStyle w:val="Hyperlink"/>
          <w:b/>
          <w:bCs/>
          <w:color w:val="auto"/>
          <w:szCs w:val="24"/>
          <w:u w:val="none"/>
        </w:rPr>
        <w:t>ABSTRACT</w:t>
      </w:r>
    </w:p>
    <w:p w:rsidR="00E35BF8" w:rsidRDefault="00E35BF8" w:rsidP="00AC68F0">
      <w:pPr>
        <w:spacing w:after="0" w:line="240" w:lineRule="auto"/>
        <w:jc w:val="center"/>
      </w:pPr>
    </w:p>
    <w:p w:rsidR="00AC68F0" w:rsidRDefault="00AC68F0" w:rsidP="00AC68F0">
      <w:pPr>
        <w:spacing w:after="0" w:line="240" w:lineRule="auto"/>
        <w:jc w:val="both"/>
        <w:rPr>
          <w:rFonts w:eastAsia="Times New Roman" w:cs="Times New Roman"/>
          <w:color w:val="000000"/>
          <w:szCs w:val="24"/>
        </w:rPr>
      </w:pPr>
      <w:r>
        <w:t xml:space="preserve">Indiscriminate use of fertilizer and lack of site specific nutrient management technology is the main cause of low maize productivity in Nepal. Thus, field experiments on farmer’s field were conducted on </w:t>
      </w:r>
      <w:r w:rsidRPr="00115AFA">
        <w:t>maize to</w:t>
      </w:r>
      <w:r>
        <w:t xml:space="preserve"> assess the productivity and profitability at two sites of Jhapa district viz. </w:t>
      </w:r>
      <w:r w:rsidR="0097474E">
        <w:t>Damak</w:t>
      </w:r>
      <w:r>
        <w:t xml:space="preserve"> and Gauradaha using Nutrient Expert</w:t>
      </w:r>
      <w:r>
        <w:rPr>
          <w:rFonts w:cs="Times New Roman"/>
        </w:rPr>
        <w:t>®</w:t>
      </w:r>
      <w:r>
        <w:t xml:space="preserve"> Maize model from November 2015 to May 2016. The experiment was laid out in Randomized Completely Block Design consisting two treatments </w:t>
      </w:r>
      <w:r w:rsidRPr="00115AFA">
        <w:rPr>
          <w:i/>
        </w:rPr>
        <w:t>viz.</w:t>
      </w:r>
      <w:r>
        <w:t xml:space="preserve"> NE (Nutrient Expert recommendation) and FFP (Farmer's Fertilizer Practice) with twenty replications. The result revealed significant differences in terms of grain yield, stover yield, biological yield, </w:t>
      </w:r>
      <w:r w:rsidR="00D56E4A">
        <w:t>and</w:t>
      </w:r>
      <w:r>
        <w:t xml:space="preserve"> yield attribut</w:t>
      </w:r>
      <w:r w:rsidR="00D56E4A">
        <w:t>ing characters</w:t>
      </w:r>
      <w:r>
        <w:t>. NE based practices produced higher grain yield (9.22 t ha</w:t>
      </w:r>
      <w:r>
        <w:rPr>
          <w:vertAlign w:val="superscript"/>
        </w:rPr>
        <w:t>-1</w:t>
      </w:r>
      <w:r>
        <w:t>), which was 86.6 percent higher than FFP (4.94 t ha</w:t>
      </w:r>
      <w:r>
        <w:rPr>
          <w:vertAlign w:val="superscript"/>
        </w:rPr>
        <w:t>-1</w:t>
      </w:r>
      <w:r>
        <w:t xml:space="preserve">). Similarly, higher average </w:t>
      </w:r>
      <w:r>
        <w:rPr>
          <w:rFonts w:eastAsia="Times New Roman" w:cs="Times New Roman"/>
          <w:color w:val="000000"/>
          <w:szCs w:val="24"/>
        </w:rPr>
        <w:t xml:space="preserve">cob number </w:t>
      </w:r>
      <w:r w:rsidRPr="00215766">
        <w:rPr>
          <w:rFonts w:eastAsia="Times New Roman" w:cs="Times New Roman"/>
          <w:color w:val="000000"/>
          <w:szCs w:val="24"/>
        </w:rPr>
        <w:t>m</w:t>
      </w:r>
      <w:r w:rsidRPr="00215766">
        <w:rPr>
          <w:rFonts w:eastAsia="Times New Roman" w:cs="Times New Roman"/>
          <w:color w:val="000000"/>
          <w:szCs w:val="24"/>
          <w:vertAlign w:val="superscript"/>
        </w:rPr>
        <w:noBreakHyphen/>
        <w:t>2</w:t>
      </w:r>
      <w:r>
        <w:rPr>
          <w:rFonts w:eastAsia="Times New Roman" w:cs="Times New Roman"/>
          <w:color w:val="000000"/>
          <w:szCs w:val="24"/>
        </w:rPr>
        <w:t xml:space="preserve"> (8.2), average k</w:t>
      </w:r>
      <w:r w:rsidRPr="00215766">
        <w:rPr>
          <w:rFonts w:eastAsia="Times New Roman" w:cs="Times New Roman"/>
          <w:color w:val="000000"/>
          <w:szCs w:val="24"/>
        </w:rPr>
        <w:t>ernel row</w:t>
      </w:r>
      <w:r>
        <w:rPr>
          <w:rFonts w:eastAsia="Times New Roman" w:cs="Times New Roman"/>
          <w:color w:val="000000"/>
          <w:szCs w:val="24"/>
        </w:rPr>
        <w:t>s</w:t>
      </w:r>
      <w:r w:rsidRPr="00215766">
        <w:rPr>
          <w:rFonts w:eastAsia="Times New Roman" w:cs="Times New Roman"/>
          <w:color w:val="000000"/>
          <w:szCs w:val="24"/>
        </w:rPr>
        <w:t xml:space="preserve"> cob</w:t>
      </w:r>
      <w:r w:rsidRPr="00215766">
        <w:rPr>
          <w:rFonts w:eastAsia="Times New Roman" w:cs="Times New Roman"/>
          <w:color w:val="000000"/>
          <w:szCs w:val="24"/>
          <w:vertAlign w:val="superscript"/>
        </w:rPr>
        <w:t>-1</w:t>
      </w:r>
      <w:r>
        <w:rPr>
          <w:rFonts w:eastAsia="Times New Roman" w:cs="Times New Roman"/>
          <w:color w:val="000000"/>
          <w:szCs w:val="24"/>
        </w:rPr>
        <w:t xml:space="preserve"> (14.2), average kernels number </w:t>
      </w:r>
      <w:r w:rsidRPr="00215766">
        <w:rPr>
          <w:rFonts w:eastAsia="Times New Roman" w:cs="Times New Roman"/>
          <w:color w:val="000000"/>
          <w:szCs w:val="24"/>
        </w:rPr>
        <w:t>row</w:t>
      </w:r>
      <w:r w:rsidRPr="00215766">
        <w:rPr>
          <w:rFonts w:eastAsia="Times New Roman" w:cs="Times New Roman"/>
          <w:color w:val="000000"/>
          <w:szCs w:val="24"/>
          <w:vertAlign w:val="superscript"/>
        </w:rPr>
        <w:t>-1</w:t>
      </w:r>
      <w:r w:rsidR="001117F3">
        <w:rPr>
          <w:rFonts w:eastAsia="Times New Roman" w:cs="Times New Roman"/>
          <w:color w:val="000000"/>
          <w:szCs w:val="24"/>
        </w:rPr>
        <w:t xml:space="preserve"> (589.9) and </w:t>
      </w:r>
      <w:r>
        <w:rPr>
          <w:rFonts w:eastAsia="Times New Roman" w:cs="Times New Roman"/>
          <w:color w:val="000000"/>
          <w:szCs w:val="24"/>
        </w:rPr>
        <w:t>test weight (361.4 g</w:t>
      </w:r>
      <w:r w:rsidR="001117F3">
        <w:rPr>
          <w:rFonts w:eastAsia="Times New Roman" w:cs="Times New Roman"/>
          <w:color w:val="000000"/>
          <w:szCs w:val="24"/>
        </w:rPr>
        <w:t>)</w:t>
      </w:r>
      <w:r>
        <w:rPr>
          <w:rFonts w:eastAsia="Times New Roman" w:cs="Times New Roman"/>
          <w:color w:val="000000"/>
          <w:szCs w:val="24"/>
        </w:rPr>
        <w:t xml:space="preserve"> were recorded in NE based practice. Thus, NE based practice can be adopted for obtaining higher productivity and profitability in eastern terai region of Nepal.</w:t>
      </w:r>
    </w:p>
    <w:p w:rsidR="00D56E4A" w:rsidRDefault="00D56E4A" w:rsidP="00AC68F0">
      <w:pPr>
        <w:spacing w:after="0" w:line="240" w:lineRule="auto"/>
        <w:jc w:val="both"/>
        <w:rPr>
          <w:rFonts w:eastAsia="Times New Roman" w:cs="Times New Roman"/>
          <w:color w:val="000000"/>
          <w:szCs w:val="24"/>
        </w:rPr>
      </w:pPr>
    </w:p>
    <w:p w:rsidR="00CB5299" w:rsidRDefault="00AC68F0" w:rsidP="00AC68F0">
      <w:pPr>
        <w:spacing w:after="0" w:line="240" w:lineRule="auto"/>
        <w:jc w:val="both"/>
      </w:pPr>
      <w:r w:rsidRPr="00AC68F0">
        <w:rPr>
          <w:rFonts w:eastAsia="Times New Roman" w:cs="Times New Roman"/>
          <w:b/>
          <w:bCs/>
          <w:color w:val="000000"/>
          <w:szCs w:val="24"/>
        </w:rPr>
        <w:t>Keywords:</w:t>
      </w:r>
      <w:r>
        <w:rPr>
          <w:rFonts w:eastAsia="Times New Roman" w:cs="Times New Roman"/>
          <w:color w:val="000000"/>
          <w:szCs w:val="24"/>
        </w:rPr>
        <w:t xml:space="preserve"> grain yield, maize, net benefit, </w:t>
      </w:r>
      <w:r>
        <w:t>nutrient expert</w:t>
      </w:r>
    </w:p>
    <w:p w:rsidR="00AC68F0" w:rsidRPr="00AC68F0" w:rsidRDefault="00AC68F0" w:rsidP="00AC68F0">
      <w:pPr>
        <w:spacing w:after="0" w:line="240" w:lineRule="auto"/>
        <w:jc w:val="both"/>
      </w:pPr>
    </w:p>
    <w:p w:rsidR="00BA3CAA" w:rsidRDefault="00DC5F26" w:rsidP="00AC68F0">
      <w:pPr>
        <w:spacing w:after="0" w:line="240" w:lineRule="auto"/>
        <w:jc w:val="center"/>
        <w:rPr>
          <w:b/>
          <w:bCs/>
          <w:szCs w:val="24"/>
        </w:rPr>
      </w:pPr>
      <w:r w:rsidRPr="00C913CD">
        <w:rPr>
          <w:b/>
          <w:bCs/>
          <w:szCs w:val="24"/>
        </w:rPr>
        <w:t>INTRODUCTION</w:t>
      </w:r>
    </w:p>
    <w:p w:rsidR="00E35BF8" w:rsidRPr="00C913CD" w:rsidRDefault="00E35BF8" w:rsidP="00AC68F0">
      <w:pPr>
        <w:spacing w:after="0" w:line="240" w:lineRule="auto"/>
        <w:jc w:val="center"/>
        <w:rPr>
          <w:rFonts w:cs="Times New Roman"/>
          <w:b/>
          <w:bCs/>
          <w:szCs w:val="24"/>
        </w:rPr>
      </w:pPr>
    </w:p>
    <w:p w:rsidR="00BA3CAA" w:rsidRPr="00C913CD" w:rsidRDefault="00BA3CAA" w:rsidP="00AC68F0">
      <w:pPr>
        <w:spacing w:after="0" w:line="240" w:lineRule="auto"/>
        <w:jc w:val="both"/>
      </w:pPr>
      <w:r w:rsidRPr="00C913CD">
        <w:rPr>
          <w:szCs w:val="24"/>
        </w:rPr>
        <w:t>Maize (</w:t>
      </w:r>
      <w:r w:rsidRPr="00C913CD">
        <w:rPr>
          <w:i/>
          <w:iCs/>
          <w:szCs w:val="24"/>
        </w:rPr>
        <w:t>Zea mays</w:t>
      </w:r>
      <w:r w:rsidRPr="00C913CD">
        <w:rPr>
          <w:szCs w:val="24"/>
        </w:rPr>
        <w:t xml:space="preserve"> L.) </w:t>
      </w:r>
      <w:r w:rsidRPr="00C913CD">
        <w:rPr>
          <w:rFonts w:cs="Times New Roman"/>
          <w:szCs w:val="24"/>
        </w:rPr>
        <w:t xml:space="preserve">is the second most important cereal crop after rice in Nepal. It is used as food, feed, fodder and </w:t>
      </w:r>
      <w:r w:rsidRPr="00C913CD">
        <w:t xml:space="preserve">raw materials for industries. </w:t>
      </w:r>
      <w:r w:rsidRPr="00C913CD">
        <w:rPr>
          <w:rFonts w:cs="Times New Roman"/>
          <w:szCs w:val="24"/>
        </w:rPr>
        <w:t xml:space="preserve">It is cultivated in 891,583 hectares of land with production and productivity of 2,231,517 tons and 2.5 </w:t>
      </w:r>
      <w:r w:rsidRPr="00C913CD">
        <w:rPr>
          <w:szCs w:val="24"/>
        </w:rPr>
        <w:t>t ha</w:t>
      </w:r>
      <w:r w:rsidRPr="00C913CD">
        <w:rPr>
          <w:szCs w:val="24"/>
          <w:vertAlign w:val="superscript"/>
        </w:rPr>
        <w:t>-1</w:t>
      </w:r>
      <w:r w:rsidRPr="00C913CD">
        <w:rPr>
          <w:szCs w:val="24"/>
        </w:rPr>
        <w:t>, respectively (MoAD, 2017).</w:t>
      </w:r>
      <w:r w:rsidRPr="00C913CD">
        <w:rPr>
          <w:rFonts w:cs="Times New Roman"/>
          <w:szCs w:val="24"/>
        </w:rPr>
        <w:t xml:space="preserve"> It is the major food crop in the hills </w:t>
      </w:r>
      <w:r w:rsidR="00CB5299">
        <w:rPr>
          <w:rFonts w:cs="Times New Roman"/>
          <w:szCs w:val="24"/>
        </w:rPr>
        <w:t>of Nepal</w:t>
      </w:r>
      <w:r w:rsidRPr="00C913CD">
        <w:rPr>
          <w:rFonts w:cs="Times New Roman"/>
          <w:szCs w:val="24"/>
        </w:rPr>
        <w:t xml:space="preserve"> and accounts about 71% of maize production of the country (MoAD, 2017). </w:t>
      </w:r>
      <w:r w:rsidRPr="00C913CD">
        <w:t>The demand of maize grain has increased, but the productivity in farm level is almost stagnant around 2-2.5 t ha</w:t>
      </w:r>
      <w:r w:rsidRPr="00C913CD">
        <w:rPr>
          <w:vertAlign w:val="superscript"/>
        </w:rPr>
        <w:t>-1</w:t>
      </w:r>
      <w:r w:rsidRPr="00C913CD">
        <w:t xml:space="preserve"> in last decade (MoAD, 2017). The farm level yield of maize (2.5 t ha</w:t>
      </w:r>
      <w:r w:rsidRPr="00C913CD">
        <w:rPr>
          <w:vertAlign w:val="superscript"/>
        </w:rPr>
        <w:t>-1</w:t>
      </w:r>
      <w:r w:rsidRPr="00C913CD">
        <w:t>) is not satisfactory as compared to attainable yield (5.7 t ha</w:t>
      </w:r>
      <w:r w:rsidRPr="00C913CD">
        <w:rPr>
          <w:vertAlign w:val="superscript"/>
        </w:rPr>
        <w:t>-1</w:t>
      </w:r>
      <w:r w:rsidRPr="00C913CD">
        <w:t>) in Nepa</w:t>
      </w:r>
      <w:r w:rsidR="00782A94" w:rsidRPr="00C913CD">
        <w:t xml:space="preserve">l (MoAD, 2017; KC </w:t>
      </w:r>
      <w:r w:rsidR="000A61D0" w:rsidRPr="000A61D0">
        <w:rPr>
          <w:i/>
          <w:iCs/>
        </w:rPr>
        <w:t>et al.</w:t>
      </w:r>
      <w:r w:rsidR="00782A94" w:rsidRPr="00C913CD">
        <w:t>, 2015)</w:t>
      </w:r>
      <w:r w:rsidRPr="00C913CD">
        <w:t>. Indiscriminate use of fertilizer and lack of site specific nutrient management technology is the main cause of low maize productivity in Nepal. Therefore, nutrient management is always the major concern in maize for increasing production in Nepal.</w:t>
      </w:r>
    </w:p>
    <w:p w:rsidR="00782A94" w:rsidRPr="00C913CD" w:rsidRDefault="00782A94" w:rsidP="00AC68F0">
      <w:pPr>
        <w:spacing w:after="0" w:line="240" w:lineRule="auto"/>
        <w:jc w:val="both"/>
      </w:pPr>
      <w:r w:rsidRPr="00C913CD">
        <w:t xml:space="preserve">Site specific nutrient management (SSNM) is a plant based approach for supplying crops with nutrients in right amount and time. It strives to enable farmers to adjust fertilizer use dynamically to make up the deficit in nutrients needs between that required by a high-yielding crop and nutrient supply from naturally occurring indigenous sources (i.e. soil, crop residues, manures and irrigation water) (Ghimire </w:t>
      </w:r>
      <w:r w:rsidR="000A61D0" w:rsidRPr="000A61D0">
        <w:rPr>
          <w:i/>
          <w:iCs/>
        </w:rPr>
        <w:t>et al.</w:t>
      </w:r>
      <w:r w:rsidRPr="00C913CD">
        <w:t>, 2015). Based on SSNM principles, a dynamic nutrient management tool, Nutrient Expert® (NE), was developed that can generate farm-specific fertilizer recommendation for</w:t>
      </w:r>
      <w:r w:rsidR="00CB5299">
        <w:t xml:space="preserve"> maize (Majumdar </w:t>
      </w:r>
      <w:r w:rsidR="000A61D0" w:rsidRPr="000A61D0">
        <w:rPr>
          <w:i/>
          <w:iCs/>
        </w:rPr>
        <w:t>et al.</w:t>
      </w:r>
      <w:r w:rsidR="00CB5299">
        <w:t>, 2014).</w:t>
      </w:r>
    </w:p>
    <w:p w:rsidR="00AC68F0" w:rsidRDefault="00782A94" w:rsidP="00AC68F0">
      <w:pPr>
        <w:spacing w:after="0" w:line="240" w:lineRule="auto"/>
        <w:jc w:val="both"/>
      </w:pPr>
      <w:r w:rsidRPr="00C913CD">
        <w:t xml:space="preserve">Many researches concerning about SSNM has been carried out around the globe. Similarly, Nutrient Expert has been tested earlier in India (Majumdar </w:t>
      </w:r>
      <w:r w:rsidR="000A61D0" w:rsidRPr="000A61D0">
        <w:rPr>
          <w:i/>
          <w:iCs/>
        </w:rPr>
        <w:t>et al.</w:t>
      </w:r>
      <w:r w:rsidRPr="00C913CD">
        <w:t xml:space="preserve">, 2014), Indonesia and </w:t>
      </w:r>
      <w:r w:rsidRPr="00C913CD">
        <w:lastRenderedPageBreak/>
        <w:t xml:space="preserve">Philippines (Pampolino </w:t>
      </w:r>
      <w:r w:rsidR="000A61D0" w:rsidRPr="000A61D0">
        <w:rPr>
          <w:i/>
          <w:iCs/>
        </w:rPr>
        <w:t>et al.</w:t>
      </w:r>
      <w:r w:rsidRPr="00C913CD">
        <w:t>, 2014) and found valid. But, In Nepal, limited research has been carried out concerning about SSNM and Nutrient Expert. Therefore, the present investigation is planned, executed and accomplished with the objective of assessing yield and yield attributing characters of maize using Nutrient Expert®-Maize.</w:t>
      </w:r>
    </w:p>
    <w:p w:rsidR="00C61192" w:rsidRDefault="00C61192" w:rsidP="00AC68F0">
      <w:pPr>
        <w:spacing w:after="0" w:line="240" w:lineRule="auto"/>
        <w:jc w:val="both"/>
      </w:pPr>
    </w:p>
    <w:p w:rsidR="00782A94" w:rsidRDefault="00DC5F26" w:rsidP="00AC68F0">
      <w:pPr>
        <w:spacing w:after="0" w:line="240" w:lineRule="auto"/>
        <w:jc w:val="center"/>
        <w:rPr>
          <w:b/>
          <w:bCs/>
        </w:rPr>
      </w:pPr>
      <w:r w:rsidRPr="00C913CD">
        <w:rPr>
          <w:b/>
          <w:bCs/>
        </w:rPr>
        <w:t>MATERIALS AND METHODS</w:t>
      </w:r>
    </w:p>
    <w:p w:rsidR="00E35BF8" w:rsidRPr="00C913CD" w:rsidRDefault="00E35BF8" w:rsidP="00AC68F0">
      <w:pPr>
        <w:spacing w:after="0" w:line="240" w:lineRule="auto"/>
        <w:jc w:val="center"/>
        <w:rPr>
          <w:b/>
          <w:bCs/>
        </w:rPr>
      </w:pPr>
    </w:p>
    <w:p w:rsidR="00ED57CA" w:rsidRDefault="00ED57CA" w:rsidP="00AC68F0">
      <w:pPr>
        <w:spacing w:after="0" w:line="240" w:lineRule="auto"/>
        <w:jc w:val="both"/>
      </w:pPr>
      <w:r w:rsidRPr="00C913CD">
        <w:t xml:space="preserve">The study was carried out at two sites of Jhapa district viz. </w:t>
      </w:r>
      <w:r w:rsidR="0097474E">
        <w:t>Damak</w:t>
      </w:r>
      <w:r w:rsidRPr="00C913CD">
        <w:t xml:space="preserve"> and Gauradaha from November 2015 to May 2016. The experiment was laid out in single factorial Randomized Completely Block Design consisting two treatments </w:t>
      </w:r>
      <w:r w:rsidRPr="00C913CD">
        <w:rPr>
          <w:i/>
        </w:rPr>
        <w:t>viz.</w:t>
      </w:r>
      <w:r w:rsidRPr="00C913CD">
        <w:t xml:space="preserve"> NE (Nutrient Expert recommendation) and FFP (Farmer's Fertilizer Practice) in twenty farmer's field, considering one farmer as one replication. The gross plot and net plot size for each treatment was maintained 100 m</w:t>
      </w:r>
      <w:r w:rsidRPr="00C913CD">
        <w:rPr>
          <w:vertAlign w:val="superscript"/>
        </w:rPr>
        <w:t>2</w:t>
      </w:r>
      <w:r w:rsidRPr="00C913CD">
        <w:t xml:space="preserve"> and 10 m</w:t>
      </w:r>
      <w:r w:rsidRPr="00C913CD">
        <w:rPr>
          <w:vertAlign w:val="superscript"/>
        </w:rPr>
        <w:t>2</w:t>
      </w:r>
      <w:r w:rsidRPr="00C913CD">
        <w:t>, respectively. The NE plot consist the cultivation of maize under Nutrient Expert- Maize recommended spacing, seed rate, fertilizer dose and other factors of production. FFP plot consist of maize cultivation under farmer's own practice of spacing, seed rate, fertilizer dose and other factors of production. Data of observations on yield attributing characters, grain yield and stover yield were recorded from net plot. These recorded data were tabulated in MS-Excel which was subjected to ANOVA (Gomez and Gomez, 1984), after analysis through GENSTAT-C, computer based program at 5% significance level. The grain yield was adjusted at 14% moisture level.</w:t>
      </w:r>
    </w:p>
    <w:p w:rsidR="00AC68F0" w:rsidRPr="00C913CD" w:rsidRDefault="00AC68F0" w:rsidP="00AC68F0">
      <w:pPr>
        <w:spacing w:after="0" w:line="240" w:lineRule="auto"/>
        <w:jc w:val="both"/>
      </w:pPr>
    </w:p>
    <w:p w:rsidR="00ED57CA" w:rsidRPr="00C913CD" w:rsidRDefault="00DC5F26" w:rsidP="00AC68F0">
      <w:pPr>
        <w:spacing w:after="0" w:line="240" w:lineRule="auto"/>
        <w:jc w:val="center"/>
        <w:rPr>
          <w:b/>
          <w:bCs/>
        </w:rPr>
      </w:pPr>
      <w:r w:rsidRPr="00C913CD">
        <w:rPr>
          <w:b/>
          <w:bCs/>
        </w:rPr>
        <w:t>RESULTS AND DISCUSSION</w:t>
      </w:r>
    </w:p>
    <w:p w:rsidR="00AC68F0" w:rsidRDefault="00BF5EE3" w:rsidP="00AC68F0">
      <w:pPr>
        <w:spacing w:after="0" w:line="240" w:lineRule="auto"/>
        <w:jc w:val="both"/>
        <w:rPr>
          <w:rFonts w:cs="Times New Roman"/>
          <w:b/>
          <w:bCs/>
          <w:szCs w:val="24"/>
        </w:rPr>
      </w:pPr>
      <w:r w:rsidRPr="00C913CD">
        <w:rPr>
          <w:rFonts w:cs="Times New Roman"/>
          <w:b/>
          <w:bCs/>
          <w:szCs w:val="24"/>
        </w:rPr>
        <w:t>Grain yield</w:t>
      </w:r>
    </w:p>
    <w:p w:rsidR="00BF5EE3" w:rsidRDefault="00BF5EE3" w:rsidP="00AC68F0">
      <w:pPr>
        <w:spacing w:after="0" w:line="240" w:lineRule="auto"/>
        <w:jc w:val="both"/>
        <w:rPr>
          <w:rFonts w:cs="Times New Roman"/>
          <w:szCs w:val="24"/>
        </w:rPr>
      </w:pPr>
      <w:r w:rsidRPr="00C913CD">
        <w:rPr>
          <w:rFonts w:cs="Times New Roman"/>
          <w:szCs w:val="24"/>
        </w:rPr>
        <w:t>The grain yield of maize was highly influenced by nutrient management practices</w:t>
      </w:r>
      <w:r w:rsidR="00903342">
        <w:rPr>
          <w:rFonts w:cs="Times New Roman"/>
          <w:szCs w:val="24"/>
        </w:rPr>
        <w:t xml:space="preserve"> (Table 1)</w:t>
      </w:r>
      <w:r w:rsidRPr="00C913CD">
        <w:rPr>
          <w:rFonts w:cs="Times New Roman"/>
          <w:szCs w:val="24"/>
        </w:rPr>
        <w:t>. The grain yield of maize under Nutrient Expert (NE) (9.22 t ha</w:t>
      </w:r>
      <w:r w:rsidRPr="00C913CD">
        <w:rPr>
          <w:rFonts w:cs="Times New Roman"/>
          <w:szCs w:val="24"/>
          <w:vertAlign w:val="superscript"/>
        </w:rPr>
        <w:t>-1</w:t>
      </w:r>
      <w:r w:rsidRPr="00C913CD">
        <w:rPr>
          <w:rFonts w:cs="Times New Roman"/>
          <w:szCs w:val="24"/>
        </w:rPr>
        <w:t>) was highly significant than grain yield of maize under farmer's fertilizer practice (FFP) (4.94 t ha</w:t>
      </w:r>
      <w:r w:rsidRPr="00C913CD">
        <w:rPr>
          <w:rFonts w:cs="Times New Roman"/>
          <w:szCs w:val="24"/>
          <w:vertAlign w:val="superscript"/>
        </w:rPr>
        <w:t>-1</w:t>
      </w:r>
      <w:r w:rsidRPr="00C913CD">
        <w:rPr>
          <w:rFonts w:cs="Times New Roman"/>
          <w:szCs w:val="24"/>
        </w:rPr>
        <w:t xml:space="preserve">). The significant increase in yield attributing characters under NE (Table 2) might be mainly responsible for obtaining the higher grain yield of maize under NE. The increase in grain yield of maize under SSNM based practices and NE was also reported in previous experiments (Kumar </w:t>
      </w:r>
      <w:r w:rsidR="000A61D0" w:rsidRPr="000A61D0">
        <w:rPr>
          <w:rFonts w:cs="Times New Roman"/>
          <w:i/>
          <w:iCs/>
          <w:szCs w:val="24"/>
        </w:rPr>
        <w:t>et al.</w:t>
      </w:r>
      <w:r w:rsidRPr="00C913CD">
        <w:rPr>
          <w:rFonts w:cs="Times New Roman"/>
          <w:szCs w:val="24"/>
        </w:rPr>
        <w:t xml:space="preserve">, 2014; Majumdhar </w:t>
      </w:r>
      <w:r w:rsidR="000A61D0" w:rsidRPr="000A61D0">
        <w:rPr>
          <w:rFonts w:cs="Times New Roman"/>
          <w:i/>
          <w:iCs/>
          <w:szCs w:val="24"/>
        </w:rPr>
        <w:t>et al.</w:t>
      </w:r>
      <w:r w:rsidRPr="00C913CD">
        <w:rPr>
          <w:rFonts w:cs="Times New Roman"/>
          <w:szCs w:val="24"/>
        </w:rPr>
        <w:t xml:space="preserve">, 2014; Pampolino </w:t>
      </w:r>
      <w:r w:rsidR="000A61D0" w:rsidRPr="000A61D0">
        <w:rPr>
          <w:rFonts w:cs="Times New Roman"/>
          <w:i/>
          <w:iCs/>
          <w:szCs w:val="24"/>
        </w:rPr>
        <w:t>et al.</w:t>
      </w:r>
      <w:r w:rsidRPr="00C913CD">
        <w:rPr>
          <w:rFonts w:cs="Times New Roman"/>
          <w:szCs w:val="24"/>
        </w:rPr>
        <w:t xml:space="preserve">, 2014; Chauhan, 2015; Kumar </w:t>
      </w:r>
      <w:r w:rsidR="000A61D0" w:rsidRPr="000A61D0">
        <w:rPr>
          <w:rFonts w:cs="Times New Roman"/>
          <w:i/>
          <w:iCs/>
          <w:szCs w:val="24"/>
        </w:rPr>
        <w:t>et al.</w:t>
      </w:r>
      <w:r w:rsidRPr="00C913CD">
        <w:rPr>
          <w:rFonts w:cs="Times New Roman"/>
          <w:szCs w:val="24"/>
        </w:rPr>
        <w:t xml:space="preserve">, 2015a; Vikram </w:t>
      </w:r>
      <w:r w:rsidR="000A61D0" w:rsidRPr="000A61D0">
        <w:rPr>
          <w:rFonts w:cs="Times New Roman"/>
          <w:i/>
          <w:iCs/>
          <w:szCs w:val="24"/>
        </w:rPr>
        <w:t>et al.</w:t>
      </w:r>
      <w:r w:rsidRPr="00C913CD">
        <w:rPr>
          <w:rFonts w:cs="Times New Roman"/>
          <w:szCs w:val="24"/>
        </w:rPr>
        <w:t xml:space="preserve">, 2015;  Sinha, 2016). Further, it was revealed that NE produced 86.6% more grain yield than farmer's fertilizer practice. Similar results were also reported by previous researchers in their studies (Kumar </w:t>
      </w:r>
      <w:r w:rsidR="000A61D0" w:rsidRPr="000A61D0">
        <w:rPr>
          <w:rFonts w:cs="Times New Roman"/>
          <w:i/>
          <w:iCs/>
          <w:szCs w:val="24"/>
        </w:rPr>
        <w:t>et al.</w:t>
      </w:r>
      <w:r w:rsidRPr="00C913CD">
        <w:rPr>
          <w:rFonts w:cs="Times New Roman"/>
          <w:szCs w:val="24"/>
        </w:rPr>
        <w:t xml:space="preserve">, 2015b; Pooniya </w:t>
      </w:r>
      <w:r w:rsidR="000A61D0" w:rsidRPr="000A61D0">
        <w:rPr>
          <w:rFonts w:cs="Times New Roman"/>
          <w:i/>
          <w:iCs/>
          <w:szCs w:val="24"/>
        </w:rPr>
        <w:t>et al.</w:t>
      </w:r>
      <w:r w:rsidRPr="00C913CD">
        <w:rPr>
          <w:rFonts w:cs="Times New Roman"/>
          <w:szCs w:val="24"/>
        </w:rPr>
        <w:t>, 2015; Sinha, 2016).</w:t>
      </w:r>
    </w:p>
    <w:p w:rsidR="00AC68F0" w:rsidRPr="00C913CD" w:rsidRDefault="00AC68F0" w:rsidP="00AC68F0">
      <w:pPr>
        <w:spacing w:after="0" w:line="240" w:lineRule="auto"/>
        <w:jc w:val="both"/>
        <w:rPr>
          <w:rFonts w:cs="Times New Roman"/>
          <w:szCs w:val="24"/>
        </w:rPr>
      </w:pPr>
    </w:p>
    <w:p w:rsidR="00BF5EE3" w:rsidRPr="00C913CD" w:rsidRDefault="00BF5EE3" w:rsidP="00AC68F0">
      <w:pPr>
        <w:spacing w:after="0" w:line="240" w:lineRule="auto"/>
        <w:ind w:left="900" w:hanging="900"/>
        <w:jc w:val="both"/>
        <w:rPr>
          <w:rFonts w:cs="Times New Roman"/>
          <w:szCs w:val="24"/>
        </w:rPr>
      </w:pPr>
      <w:r w:rsidRPr="00C913CD">
        <w:rPr>
          <w:rFonts w:cs="Times New Roman"/>
          <w:szCs w:val="24"/>
        </w:rPr>
        <w:t xml:space="preserve">Table 1. Grain yield and stover yield of maize as affected by nutrient management practices at </w:t>
      </w:r>
      <w:r w:rsidR="0097474E">
        <w:rPr>
          <w:rFonts w:cs="Times New Roman"/>
          <w:szCs w:val="24"/>
        </w:rPr>
        <w:t>Damak</w:t>
      </w:r>
      <w:r w:rsidRPr="00C913CD">
        <w:rPr>
          <w:rFonts w:cs="Times New Roman"/>
          <w:szCs w:val="24"/>
        </w:rPr>
        <w:t xml:space="preserve"> and Gauradaha, Jhapa, Nepal, 2015/16</w:t>
      </w:r>
    </w:p>
    <w:tbl>
      <w:tblPr>
        <w:tblW w:w="5000" w:type="pct"/>
        <w:tblBorders>
          <w:top w:val="single" w:sz="4" w:space="0" w:color="auto"/>
          <w:bottom w:val="single" w:sz="4" w:space="0" w:color="auto"/>
        </w:tblBorders>
        <w:tblLook w:val="04A0" w:firstRow="1" w:lastRow="0" w:firstColumn="1" w:lastColumn="0" w:noHBand="0" w:noVBand="1"/>
      </w:tblPr>
      <w:tblGrid>
        <w:gridCol w:w="2357"/>
        <w:gridCol w:w="2071"/>
        <w:gridCol w:w="2341"/>
        <w:gridCol w:w="2476"/>
      </w:tblGrid>
      <w:tr w:rsidR="00D56E4A" w:rsidRPr="00C913CD" w:rsidTr="00D56E4A">
        <w:trPr>
          <w:trHeight w:val="20"/>
        </w:trPr>
        <w:tc>
          <w:tcPr>
            <w:tcW w:w="1275" w:type="pct"/>
            <w:tcBorders>
              <w:bottom w:val="single" w:sz="4" w:space="0" w:color="auto"/>
            </w:tcBorders>
            <w:shd w:val="clear" w:color="auto" w:fill="auto"/>
            <w:noWrap/>
            <w:vAlign w:val="center"/>
            <w:hideMark/>
          </w:tcPr>
          <w:p w:rsidR="00D56E4A" w:rsidRPr="00C913CD" w:rsidRDefault="00D56E4A" w:rsidP="00AC68F0">
            <w:pPr>
              <w:spacing w:after="0" w:line="240" w:lineRule="auto"/>
              <w:jc w:val="both"/>
            </w:pPr>
            <w:r w:rsidRPr="00C913CD">
              <w:t>Treatment</w:t>
            </w:r>
          </w:p>
        </w:tc>
        <w:tc>
          <w:tcPr>
            <w:tcW w:w="1120" w:type="pct"/>
            <w:tcBorders>
              <w:bottom w:val="single" w:sz="4" w:space="0" w:color="auto"/>
            </w:tcBorders>
            <w:vAlign w:val="center"/>
          </w:tcPr>
          <w:p w:rsidR="00D56E4A" w:rsidRPr="00C913CD" w:rsidRDefault="00D56E4A" w:rsidP="00AC68F0">
            <w:pPr>
              <w:spacing w:after="0" w:line="240" w:lineRule="auto"/>
              <w:jc w:val="both"/>
            </w:pPr>
            <w:r w:rsidRPr="00C913CD">
              <w:t>Grain Yield (t ha</w:t>
            </w:r>
            <w:r w:rsidRPr="00C913CD">
              <w:rPr>
                <w:vertAlign w:val="superscript"/>
              </w:rPr>
              <w:noBreakHyphen/>
              <w:t>1</w:t>
            </w:r>
            <w:r w:rsidRPr="00C913CD">
              <w:t>)</w:t>
            </w:r>
          </w:p>
        </w:tc>
        <w:tc>
          <w:tcPr>
            <w:tcW w:w="1266" w:type="pct"/>
            <w:tcBorders>
              <w:bottom w:val="single" w:sz="4" w:space="0" w:color="auto"/>
            </w:tcBorders>
            <w:vAlign w:val="bottom"/>
          </w:tcPr>
          <w:p w:rsidR="00D56E4A" w:rsidRPr="00C913CD" w:rsidRDefault="00D56E4A" w:rsidP="00AC68F0">
            <w:pPr>
              <w:spacing w:after="0" w:line="240" w:lineRule="auto"/>
              <w:jc w:val="both"/>
            </w:pPr>
            <w:r w:rsidRPr="00C913CD">
              <w:t>Stover Yield (t ha</w:t>
            </w:r>
            <w:r w:rsidRPr="00C913CD">
              <w:rPr>
                <w:vertAlign w:val="superscript"/>
              </w:rPr>
              <w:noBreakHyphen/>
              <w:t>1</w:t>
            </w:r>
            <w:r w:rsidRPr="00C913CD">
              <w:t>)</w:t>
            </w:r>
          </w:p>
        </w:tc>
        <w:tc>
          <w:tcPr>
            <w:tcW w:w="1339" w:type="pct"/>
            <w:tcBorders>
              <w:bottom w:val="single" w:sz="4" w:space="0" w:color="auto"/>
            </w:tcBorders>
          </w:tcPr>
          <w:p w:rsidR="00D56E4A" w:rsidRPr="00C913CD" w:rsidRDefault="00D56E4A" w:rsidP="00AC68F0">
            <w:pPr>
              <w:spacing w:after="0" w:line="240" w:lineRule="auto"/>
              <w:jc w:val="both"/>
            </w:pPr>
            <w:r>
              <w:t>Biological yield (</w:t>
            </w:r>
            <w:r w:rsidRPr="00C913CD">
              <w:t>t ha</w:t>
            </w:r>
            <w:r w:rsidRPr="00C913CD">
              <w:rPr>
                <w:vertAlign w:val="superscript"/>
              </w:rPr>
              <w:noBreakHyphen/>
              <w:t>1</w:t>
            </w:r>
            <w:r w:rsidRPr="00C913CD">
              <w:t>)</w:t>
            </w:r>
          </w:p>
        </w:tc>
      </w:tr>
      <w:tr w:rsidR="00D56E4A" w:rsidRPr="00C913CD" w:rsidTr="00D56E4A">
        <w:trPr>
          <w:trHeight w:val="215"/>
        </w:trPr>
        <w:tc>
          <w:tcPr>
            <w:tcW w:w="1275" w:type="pct"/>
            <w:tcBorders>
              <w:top w:val="single" w:sz="4" w:space="0" w:color="auto"/>
              <w:bottom w:val="nil"/>
            </w:tcBorders>
            <w:shd w:val="clear" w:color="auto" w:fill="auto"/>
            <w:noWrap/>
            <w:hideMark/>
          </w:tcPr>
          <w:p w:rsidR="00D56E4A" w:rsidRPr="00C913CD" w:rsidRDefault="00D56E4A" w:rsidP="00AC68F0">
            <w:pPr>
              <w:spacing w:after="0" w:line="240" w:lineRule="auto"/>
              <w:jc w:val="both"/>
            </w:pPr>
            <w:r w:rsidRPr="00C913CD">
              <w:t>NE</w:t>
            </w:r>
          </w:p>
        </w:tc>
        <w:tc>
          <w:tcPr>
            <w:tcW w:w="1120" w:type="pct"/>
            <w:tcBorders>
              <w:top w:val="single" w:sz="4" w:space="0" w:color="auto"/>
              <w:bottom w:val="nil"/>
            </w:tcBorders>
          </w:tcPr>
          <w:p w:rsidR="00D56E4A" w:rsidRPr="00C913CD" w:rsidRDefault="00D56E4A" w:rsidP="00D56E4A">
            <w:pPr>
              <w:spacing w:after="0" w:line="240" w:lineRule="auto"/>
              <w:jc w:val="center"/>
            </w:pPr>
            <w:r w:rsidRPr="00C913CD">
              <w:t>9.22</w:t>
            </w:r>
          </w:p>
        </w:tc>
        <w:tc>
          <w:tcPr>
            <w:tcW w:w="1266" w:type="pct"/>
            <w:tcBorders>
              <w:top w:val="single" w:sz="4" w:space="0" w:color="auto"/>
              <w:bottom w:val="nil"/>
            </w:tcBorders>
          </w:tcPr>
          <w:p w:rsidR="00D56E4A" w:rsidRPr="00C913CD" w:rsidRDefault="00D56E4A" w:rsidP="00D56E4A">
            <w:pPr>
              <w:spacing w:after="0" w:line="240" w:lineRule="auto"/>
              <w:jc w:val="center"/>
            </w:pPr>
            <w:r w:rsidRPr="00C913CD">
              <w:t>12.70</w:t>
            </w:r>
          </w:p>
        </w:tc>
        <w:tc>
          <w:tcPr>
            <w:tcW w:w="1339" w:type="pct"/>
            <w:tcBorders>
              <w:top w:val="single" w:sz="4" w:space="0" w:color="auto"/>
              <w:bottom w:val="nil"/>
            </w:tcBorders>
          </w:tcPr>
          <w:p w:rsidR="00D56E4A" w:rsidRPr="00C913CD" w:rsidRDefault="00D56E4A" w:rsidP="00D56E4A">
            <w:pPr>
              <w:spacing w:after="0" w:line="240" w:lineRule="auto"/>
              <w:jc w:val="center"/>
            </w:pPr>
            <w:r>
              <w:t>21.92</w:t>
            </w:r>
          </w:p>
        </w:tc>
      </w:tr>
      <w:tr w:rsidR="00D56E4A" w:rsidRPr="00C913CD" w:rsidTr="00D56E4A">
        <w:trPr>
          <w:trHeight w:val="20"/>
        </w:trPr>
        <w:tc>
          <w:tcPr>
            <w:tcW w:w="1275" w:type="pct"/>
            <w:tcBorders>
              <w:top w:val="nil"/>
              <w:bottom w:val="single" w:sz="4" w:space="0" w:color="auto"/>
            </w:tcBorders>
            <w:shd w:val="clear" w:color="auto" w:fill="auto"/>
            <w:noWrap/>
            <w:hideMark/>
          </w:tcPr>
          <w:p w:rsidR="00D56E4A" w:rsidRPr="00C913CD" w:rsidRDefault="00D56E4A" w:rsidP="00AC68F0">
            <w:pPr>
              <w:spacing w:after="0" w:line="240" w:lineRule="auto"/>
              <w:jc w:val="both"/>
            </w:pPr>
            <w:r w:rsidRPr="00C913CD">
              <w:t>FFP</w:t>
            </w:r>
          </w:p>
        </w:tc>
        <w:tc>
          <w:tcPr>
            <w:tcW w:w="1120" w:type="pct"/>
            <w:tcBorders>
              <w:top w:val="nil"/>
              <w:bottom w:val="single" w:sz="4" w:space="0" w:color="auto"/>
            </w:tcBorders>
          </w:tcPr>
          <w:p w:rsidR="00D56E4A" w:rsidRPr="00C913CD" w:rsidRDefault="00D56E4A" w:rsidP="00D56E4A">
            <w:pPr>
              <w:spacing w:after="0" w:line="240" w:lineRule="auto"/>
              <w:jc w:val="center"/>
            </w:pPr>
            <w:r w:rsidRPr="00C913CD">
              <w:t>4.94</w:t>
            </w:r>
          </w:p>
        </w:tc>
        <w:tc>
          <w:tcPr>
            <w:tcW w:w="1266" w:type="pct"/>
            <w:tcBorders>
              <w:top w:val="nil"/>
              <w:bottom w:val="single" w:sz="4" w:space="0" w:color="auto"/>
            </w:tcBorders>
          </w:tcPr>
          <w:p w:rsidR="00D56E4A" w:rsidRPr="00C913CD" w:rsidRDefault="00D56E4A" w:rsidP="00D56E4A">
            <w:pPr>
              <w:spacing w:after="0" w:line="240" w:lineRule="auto"/>
              <w:jc w:val="center"/>
            </w:pPr>
            <w:r w:rsidRPr="00C913CD">
              <w:t>8.62</w:t>
            </w:r>
          </w:p>
        </w:tc>
        <w:tc>
          <w:tcPr>
            <w:tcW w:w="1339" w:type="pct"/>
            <w:tcBorders>
              <w:top w:val="nil"/>
              <w:bottom w:val="single" w:sz="4" w:space="0" w:color="auto"/>
            </w:tcBorders>
          </w:tcPr>
          <w:p w:rsidR="00D56E4A" w:rsidRPr="00C913CD" w:rsidRDefault="00D56E4A" w:rsidP="00D56E4A">
            <w:pPr>
              <w:spacing w:after="0" w:line="240" w:lineRule="auto"/>
              <w:jc w:val="center"/>
            </w:pPr>
            <w:r>
              <w:t>13.55</w:t>
            </w:r>
          </w:p>
        </w:tc>
      </w:tr>
      <w:tr w:rsidR="00D56E4A" w:rsidRPr="00C913CD" w:rsidTr="00D56E4A">
        <w:trPr>
          <w:trHeight w:val="20"/>
        </w:trPr>
        <w:tc>
          <w:tcPr>
            <w:tcW w:w="1275" w:type="pct"/>
            <w:tcBorders>
              <w:top w:val="single" w:sz="4" w:space="0" w:color="auto"/>
              <w:bottom w:val="nil"/>
            </w:tcBorders>
            <w:shd w:val="clear" w:color="auto" w:fill="auto"/>
            <w:noWrap/>
            <w:hideMark/>
          </w:tcPr>
          <w:p w:rsidR="00D56E4A" w:rsidRPr="00C913CD" w:rsidRDefault="00D56E4A" w:rsidP="00AC68F0">
            <w:pPr>
              <w:spacing w:after="0" w:line="240" w:lineRule="auto"/>
              <w:jc w:val="both"/>
            </w:pPr>
            <w:r w:rsidRPr="00C913CD">
              <w:t>SEm (±)</w:t>
            </w:r>
          </w:p>
        </w:tc>
        <w:tc>
          <w:tcPr>
            <w:tcW w:w="1120" w:type="pct"/>
            <w:tcBorders>
              <w:top w:val="single" w:sz="4" w:space="0" w:color="auto"/>
              <w:bottom w:val="nil"/>
            </w:tcBorders>
          </w:tcPr>
          <w:p w:rsidR="00D56E4A" w:rsidRPr="00C913CD" w:rsidRDefault="00D56E4A" w:rsidP="00D56E4A">
            <w:pPr>
              <w:spacing w:after="0" w:line="240" w:lineRule="auto"/>
              <w:jc w:val="center"/>
            </w:pPr>
            <w:r w:rsidRPr="00C913CD">
              <w:t>0.14</w:t>
            </w:r>
          </w:p>
        </w:tc>
        <w:tc>
          <w:tcPr>
            <w:tcW w:w="1266" w:type="pct"/>
            <w:tcBorders>
              <w:top w:val="single" w:sz="4" w:space="0" w:color="auto"/>
              <w:bottom w:val="nil"/>
            </w:tcBorders>
          </w:tcPr>
          <w:p w:rsidR="00D56E4A" w:rsidRPr="00C913CD" w:rsidRDefault="00D56E4A" w:rsidP="00D56E4A">
            <w:pPr>
              <w:spacing w:after="0" w:line="240" w:lineRule="auto"/>
              <w:jc w:val="center"/>
            </w:pPr>
            <w:r w:rsidRPr="00C913CD">
              <w:t>0.24</w:t>
            </w:r>
          </w:p>
        </w:tc>
        <w:tc>
          <w:tcPr>
            <w:tcW w:w="1339" w:type="pct"/>
            <w:tcBorders>
              <w:top w:val="single" w:sz="4" w:space="0" w:color="auto"/>
              <w:bottom w:val="nil"/>
            </w:tcBorders>
          </w:tcPr>
          <w:p w:rsidR="00D56E4A" w:rsidRPr="00C913CD" w:rsidRDefault="00D56E4A" w:rsidP="00D56E4A">
            <w:pPr>
              <w:spacing w:after="0" w:line="240" w:lineRule="auto"/>
              <w:jc w:val="center"/>
            </w:pPr>
            <w:r>
              <w:t>0.28</w:t>
            </w:r>
          </w:p>
        </w:tc>
      </w:tr>
      <w:tr w:rsidR="00D56E4A" w:rsidRPr="00C913CD" w:rsidTr="00D56E4A">
        <w:trPr>
          <w:trHeight w:val="20"/>
        </w:trPr>
        <w:tc>
          <w:tcPr>
            <w:tcW w:w="1275" w:type="pct"/>
            <w:tcBorders>
              <w:top w:val="nil"/>
              <w:bottom w:val="single" w:sz="4" w:space="0" w:color="auto"/>
            </w:tcBorders>
            <w:shd w:val="clear" w:color="auto" w:fill="auto"/>
            <w:noWrap/>
            <w:hideMark/>
          </w:tcPr>
          <w:p w:rsidR="00D56E4A" w:rsidRPr="00C913CD" w:rsidRDefault="00D56E4A" w:rsidP="00AC68F0">
            <w:pPr>
              <w:spacing w:after="0" w:line="240" w:lineRule="auto"/>
              <w:jc w:val="both"/>
            </w:pPr>
            <w:r w:rsidRPr="00C913CD">
              <w:t xml:space="preserve">LSD </w:t>
            </w:r>
            <w:r w:rsidRPr="00C913CD">
              <w:rPr>
                <w:vertAlign w:val="subscript"/>
              </w:rPr>
              <w:t>(0.05)</w:t>
            </w:r>
          </w:p>
        </w:tc>
        <w:tc>
          <w:tcPr>
            <w:tcW w:w="1120" w:type="pct"/>
            <w:tcBorders>
              <w:top w:val="nil"/>
              <w:bottom w:val="single" w:sz="4" w:space="0" w:color="auto"/>
            </w:tcBorders>
          </w:tcPr>
          <w:p w:rsidR="00D56E4A" w:rsidRPr="00C913CD" w:rsidRDefault="00D56E4A" w:rsidP="00D56E4A">
            <w:pPr>
              <w:spacing w:after="0" w:line="240" w:lineRule="auto"/>
              <w:jc w:val="center"/>
            </w:pPr>
            <w:r w:rsidRPr="00C913CD">
              <w:t>0.413</w:t>
            </w:r>
          </w:p>
        </w:tc>
        <w:tc>
          <w:tcPr>
            <w:tcW w:w="1266" w:type="pct"/>
            <w:tcBorders>
              <w:top w:val="nil"/>
              <w:bottom w:val="single" w:sz="4" w:space="0" w:color="auto"/>
            </w:tcBorders>
          </w:tcPr>
          <w:p w:rsidR="00D56E4A" w:rsidRPr="00C913CD" w:rsidRDefault="00D56E4A" w:rsidP="00D56E4A">
            <w:pPr>
              <w:spacing w:after="0" w:line="240" w:lineRule="auto"/>
              <w:jc w:val="center"/>
            </w:pPr>
            <w:r w:rsidRPr="00C913CD">
              <w:t>0.699</w:t>
            </w:r>
          </w:p>
        </w:tc>
        <w:tc>
          <w:tcPr>
            <w:tcW w:w="1339" w:type="pct"/>
            <w:tcBorders>
              <w:top w:val="nil"/>
              <w:bottom w:val="single" w:sz="4" w:space="0" w:color="auto"/>
            </w:tcBorders>
          </w:tcPr>
          <w:p w:rsidR="00D56E4A" w:rsidRPr="00C913CD" w:rsidRDefault="00D56E4A" w:rsidP="00D56E4A">
            <w:pPr>
              <w:spacing w:after="0" w:line="240" w:lineRule="auto"/>
              <w:jc w:val="center"/>
            </w:pPr>
            <w:r>
              <w:t>0.827</w:t>
            </w:r>
          </w:p>
        </w:tc>
      </w:tr>
      <w:tr w:rsidR="00D56E4A" w:rsidRPr="00C913CD" w:rsidTr="00D56E4A">
        <w:trPr>
          <w:trHeight w:val="20"/>
        </w:trPr>
        <w:tc>
          <w:tcPr>
            <w:tcW w:w="1275" w:type="pct"/>
            <w:tcBorders>
              <w:top w:val="single" w:sz="4" w:space="0" w:color="auto"/>
              <w:bottom w:val="single" w:sz="4" w:space="0" w:color="auto"/>
            </w:tcBorders>
            <w:shd w:val="clear" w:color="auto" w:fill="auto"/>
            <w:noWrap/>
            <w:hideMark/>
          </w:tcPr>
          <w:p w:rsidR="00D56E4A" w:rsidRPr="00C913CD" w:rsidRDefault="00D56E4A" w:rsidP="00AC68F0">
            <w:pPr>
              <w:spacing w:after="0" w:line="240" w:lineRule="auto"/>
              <w:jc w:val="both"/>
            </w:pPr>
            <w:r w:rsidRPr="00C913CD">
              <w:t>P-value</w:t>
            </w:r>
          </w:p>
        </w:tc>
        <w:tc>
          <w:tcPr>
            <w:tcW w:w="1120" w:type="pct"/>
            <w:tcBorders>
              <w:top w:val="single" w:sz="4" w:space="0" w:color="auto"/>
              <w:bottom w:val="single" w:sz="4" w:space="0" w:color="auto"/>
            </w:tcBorders>
          </w:tcPr>
          <w:p w:rsidR="00D56E4A" w:rsidRPr="00C913CD" w:rsidRDefault="00D56E4A" w:rsidP="00D56E4A">
            <w:pPr>
              <w:spacing w:after="0" w:line="240" w:lineRule="auto"/>
              <w:jc w:val="center"/>
            </w:pPr>
            <w:r w:rsidRPr="00C913CD">
              <w:t>&lt;.001</w:t>
            </w:r>
          </w:p>
        </w:tc>
        <w:tc>
          <w:tcPr>
            <w:tcW w:w="1266" w:type="pct"/>
            <w:tcBorders>
              <w:top w:val="single" w:sz="4" w:space="0" w:color="auto"/>
              <w:bottom w:val="single" w:sz="4" w:space="0" w:color="auto"/>
            </w:tcBorders>
          </w:tcPr>
          <w:p w:rsidR="00D56E4A" w:rsidRPr="00C913CD" w:rsidRDefault="00D56E4A" w:rsidP="00D56E4A">
            <w:pPr>
              <w:spacing w:after="0" w:line="240" w:lineRule="auto"/>
              <w:jc w:val="center"/>
            </w:pPr>
            <w:r w:rsidRPr="00C913CD">
              <w:t>&lt;.001</w:t>
            </w:r>
          </w:p>
        </w:tc>
        <w:tc>
          <w:tcPr>
            <w:tcW w:w="1339" w:type="pct"/>
            <w:tcBorders>
              <w:top w:val="single" w:sz="4" w:space="0" w:color="auto"/>
              <w:bottom w:val="single" w:sz="4" w:space="0" w:color="auto"/>
            </w:tcBorders>
          </w:tcPr>
          <w:p w:rsidR="00D56E4A" w:rsidRPr="00C913CD" w:rsidRDefault="00D56E4A" w:rsidP="00D56E4A">
            <w:pPr>
              <w:spacing w:after="0" w:line="240" w:lineRule="auto"/>
              <w:jc w:val="center"/>
            </w:pPr>
            <w:r w:rsidRPr="00C913CD">
              <w:t>&lt;.001</w:t>
            </w:r>
          </w:p>
        </w:tc>
      </w:tr>
      <w:tr w:rsidR="00D56E4A" w:rsidRPr="00C913CD" w:rsidTr="00D56E4A">
        <w:trPr>
          <w:trHeight w:val="20"/>
        </w:trPr>
        <w:tc>
          <w:tcPr>
            <w:tcW w:w="1275" w:type="pct"/>
            <w:tcBorders>
              <w:top w:val="single" w:sz="4" w:space="0" w:color="auto"/>
              <w:bottom w:val="single" w:sz="4" w:space="0" w:color="auto"/>
            </w:tcBorders>
            <w:shd w:val="clear" w:color="auto" w:fill="auto"/>
            <w:noWrap/>
            <w:hideMark/>
          </w:tcPr>
          <w:p w:rsidR="00D56E4A" w:rsidRPr="00C913CD" w:rsidRDefault="00D56E4A" w:rsidP="00AC68F0">
            <w:pPr>
              <w:spacing w:after="0" w:line="240" w:lineRule="auto"/>
              <w:jc w:val="both"/>
            </w:pPr>
            <w:r w:rsidRPr="00C913CD">
              <w:t>CV (%)</w:t>
            </w:r>
          </w:p>
        </w:tc>
        <w:tc>
          <w:tcPr>
            <w:tcW w:w="1120" w:type="pct"/>
            <w:tcBorders>
              <w:top w:val="single" w:sz="4" w:space="0" w:color="auto"/>
              <w:bottom w:val="single" w:sz="4" w:space="0" w:color="auto"/>
            </w:tcBorders>
          </w:tcPr>
          <w:p w:rsidR="00D56E4A" w:rsidRPr="00C913CD" w:rsidRDefault="00D56E4A" w:rsidP="00D56E4A">
            <w:pPr>
              <w:spacing w:after="0" w:line="240" w:lineRule="auto"/>
              <w:jc w:val="center"/>
            </w:pPr>
            <w:r w:rsidRPr="00C913CD">
              <w:t>8.8</w:t>
            </w:r>
          </w:p>
        </w:tc>
        <w:tc>
          <w:tcPr>
            <w:tcW w:w="1266" w:type="pct"/>
            <w:tcBorders>
              <w:top w:val="single" w:sz="4" w:space="0" w:color="auto"/>
              <w:bottom w:val="single" w:sz="4" w:space="0" w:color="auto"/>
            </w:tcBorders>
          </w:tcPr>
          <w:p w:rsidR="00D56E4A" w:rsidRPr="00C913CD" w:rsidRDefault="00D56E4A" w:rsidP="00D56E4A">
            <w:pPr>
              <w:spacing w:after="0" w:line="240" w:lineRule="auto"/>
              <w:jc w:val="center"/>
            </w:pPr>
            <w:r w:rsidRPr="00C913CD">
              <w:t>9.9</w:t>
            </w:r>
          </w:p>
        </w:tc>
        <w:tc>
          <w:tcPr>
            <w:tcW w:w="1339" w:type="pct"/>
            <w:tcBorders>
              <w:top w:val="single" w:sz="4" w:space="0" w:color="auto"/>
              <w:bottom w:val="single" w:sz="4" w:space="0" w:color="auto"/>
            </w:tcBorders>
          </w:tcPr>
          <w:p w:rsidR="00D56E4A" w:rsidRPr="00C913CD" w:rsidRDefault="00D56E4A" w:rsidP="00D56E4A">
            <w:pPr>
              <w:spacing w:after="0" w:line="240" w:lineRule="auto"/>
              <w:jc w:val="center"/>
            </w:pPr>
            <w:r>
              <w:t>7.0</w:t>
            </w:r>
          </w:p>
        </w:tc>
      </w:tr>
      <w:tr w:rsidR="00D56E4A" w:rsidRPr="00C913CD" w:rsidTr="00D56E4A">
        <w:trPr>
          <w:trHeight w:val="20"/>
        </w:trPr>
        <w:tc>
          <w:tcPr>
            <w:tcW w:w="1275" w:type="pct"/>
            <w:tcBorders>
              <w:top w:val="single" w:sz="4" w:space="0" w:color="auto"/>
              <w:bottom w:val="single" w:sz="4" w:space="0" w:color="auto"/>
            </w:tcBorders>
            <w:shd w:val="clear" w:color="auto" w:fill="auto"/>
            <w:noWrap/>
            <w:hideMark/>
          </w:tcPr>
          <w:p w:rsidR="00D56E4A" w:rsidRPr="00C913CD" w:rsidRDefault="00D56E4A" w:rsidP="00AC68F0">
            <w:pPr>
              <w:spacing w:after="0" w:line="240" w:lineRule="auto"/>
              <w:jc w:val="both"/>
            </w:pPr>
            <w:r w:rsidRPr="00C913CD">
              <w:t>Grand Mean</w:t>
            </w:r>
          </w:p>
        </w:tc>
        <w:tc>
          <w:tcPr>
            <w:tcW w:w="1120" w:type="pct"/>
            <w:tcBorders>
              <w:top w:val="single" w:sz="4" w:space="0" w:color="auto"/>
              <w:bottom w:val="single" w:sz="4" w:space="0" w:color="auto"/>
            </w:tcBorders>
          </w:tcPr>
          <w:p w:rsidR="00D56E4A" w:rsidRPr="00C913CD" w:rsidRDefault="00D56E4A" w:rsidP="00D56E4A">
            <w:pPr>
              <w:spacing w:after="0" w:line="240" w:lineRule="auto"/>
              <w:jc w:val="center"/>
            </w:pPr>
            <w:r w:rsidRPr="00C913CD">
              <w:t>7.08</w:t>
            </w:r>
          </w:p>
        </w:tc>
        <w:tc>
          <w:tcPr>
            <w:tcW w:w="1266" w:type="pct"/>
            <w:tcBorders>
              <w:top w:val="single" w:sz="4" w:space="0" w:color="auto"/>
              <w:bottom w:val="single" w:sz="4" w:space="0" w:color="auto"/>
            </w:tcBorders>
          </w:tcPr>
          <w:p w:rsidR="00D56E4A" w:rsidRPr="00C913CD" w:rsidRDefault="00D56E4A" w:rsidP="00D56E4A">
            <w:pPr>
              <w:spacing w:after="0" w:line="240" w:lineRule="auto"/>
              <w:jc w:val="center"/>
            </w:pPr>
            <w:r w:rsidRPr="00C913CD">
              <w:t>10.66</w:t>
            </w:r>
          </w:p>
        </w:tc>
        <w:tc>
          <w:tcPr>
            <w:tcW w:w="1339" w:type="pct"/>
            <w:tcBorders>
              <w:top w:val="single" w:sz="4" w:space="0" w:color="auto"/>
              <w:bottom w:val="single" w:sz="4" w:space="0" w:color="auto"/>
            </w:tcBorders>
          </w:tcPr>
          <w:p w:rsidR="00D56E4A" w:rsidRPr="00C913CD" w:rsidRDefault="00D56E4A" w:rsidP="00D56E4A">
            <w:pPr>
              <w:spacing w:after="0" w:line="240" w:lineRule="auto"/>
              <w:jc w:val="center"/>
            </w:pPr>
            <w:r>
              <w:t>17.74</w:t>
            </w:r>
          </w:p>
        </w:tc>
      </w:tr>
    </w:tbl>
    <w:p w:rsidR="00AC68F0" w:rsidRDefault="00AC68F0" w:rsidP="00AC68F0">
      <w:pPr>
        <w:spacing w:after="0" w:line="240" w:lineRule="auto"/>
        <w:jc w:val="both"/>
        <w:rPr>
          <w:rFonts w:cs="Times New Roman"/>
          <w:szCs w:val="24"/>
        </w:rPr>
      </w:pPr>
    </w:p>
    <w:p w:rsidR="00D56E4A" w:rsidRDefault="00BF5EE3" w:rsidP="00AC68F0">
      <w:pPr>
        <w:spacing w:after="0" w:line="240" w:lineRule="auto"/>
        <w:jc w:val="both"/>
        <w:rPr>
          <w:rFonts w:cs="Times New Roman"/>
          <w:szCs w:val="24"/>
        </w:rPr>
      </w:pPr>
      <w:r w:rsidRPr="00C913CD">
        <w:rPr>
          <w:rFonts w:cs="Times New Roman"/>
          <w:szCs w:val="24"/>
        </w:rPr>
        <w:t xml:space="preserve">The higher yields in NE may be ascribed to efficient adjustments in applying nutrients to accommodate field specific needs of the crops for supplementing plant nutrients (Pooniya </w:t>
      </w:r>
      <w:r w:rsidR="000A61D0" w:rsidRPr="000A61D0">
        <w:rPr>
          <w:rFonts w:cs="Times New Roman"/>
          <w:i/>
          <w:iCs/>
          <w:szCs w:val="24"/>
        </w:rPr>
        <w:t>et al.</w:t>
      </w:r>
      <w:r w:rsidRPr="00C913CD">
        <w:rPr>
          <w:rFonts w:cs="Times New Roman"/>
          <w:szCs w:val="24"/>
        </w:rPr>
        <w:t xml:space="preserve">, 2015). The increased availability of nutrients at critical physiological phases results in better translocation of photosynthates from source to sink, resulting better growth and yield attributing characters, and finally increasing the grain yield (Vikram </w:t>
      </w:r>
      <w:r w:rsidR="000A61D0" w:rsidRPr="000A61D0">
        <w:rPr>
          <w:rFonts w:cs="Times New Roman"/>
          <w:i/>
          <w:iCs/>
          <w:szCs w:val="24"/>
        </w:rPr>
        <w:t>et al.</w:t>
      </w:r>
      <w:r w:rsidRPr="00C913CD">
        <w:rPr>
          <w:rFonts w:cs="Times New Roman"/>
          <w:szCs w:val="24"/>
        </w:rPr>
        <w:t>, 2015). Similarly, broadcasting of seed in FFP had caused patchy growth of crop, characterized by improper spacing. This led to increased incidence of insect, pest and diseases in FFP, which also led to reduced grain yield.</w:t>
      </w:r>
    </w:p>
    <w:p w:rsidR="00D56E4A" w:rsidRDefault="00D56E4A" w:rsidP="00AC68F0">
      <w:pPr>
        <w:spacing w:after="0" w:line="240" w:lineRule="auto"/>
        <w:jc w:val="both"/>
        <w:rPr>
          <w:rFonts w:cs="Times New Roman"/>
          <w:szCs w:val="24"/>
        </w:rPr>
      </w:pPr>
    </w:p>
    <w:p w:rsidR="00903342" w:rsidRPr="00903342" w:rsidRDefault="00903342" w:rsidP="00AC68F0">
      <w:pPr>
        <w:spacing w:after="0" w:line="240" w:lineRule="auto"/>
        <w:jc w:val="both"/>
        <w:rPr>
          <w:rFonts w:cs="Times New Roman"/>
          <w:b/>
          <w:bCs/>
          <w:szCs w:val="24"/>
        </w:rPr>
      </w:pPr>
      <w:r w:rsidRPr="00903342">
        <w:rPr>
          <w:rFonts w:cs="Times New Roman"/>
          <w:b/>
          <w:bCs/>
          <w:szCs w:val="24"/>
        </w:rPr>
        <w:t xml:space="preserve">Stover </w:t>
      </w:r>
      <w:r w:rsidR="00D56E4A">
        <w:rPr>
          <w:rFonts w:cs="Times New Roman"/>
          <w:b/>
          <w:bCs/>
          <w:szCs w:val="24"/>
        </w:rPr>
        <w:t xml:space="preserve">and biological </w:t>
      </w:r>
      <w:r w:rsidRPr="00903342">
        <w:rPr>
          <w:rFonts w:cs="Times New Roman"/>
          <w:b/>
          <w:bCs/>
          <w:szCs w:val="24"/>
        </w:rPr>
        <w:t>yield</w:t>
      </w:r>
      <w:r w:rsidR="00D56E4A">
        <w:rPr>
          <w:rFonts w:cs="Times New Roman"/>
          <w:b/>
          <w:bCs/>
          <w:szCs w:val="24"/>
        </w:rPr>
        <w:t>s</w:t>
      </w:r>
    </w:p>
    <w:p w:rsidR="00903342" w:rsidRDefault="00903342" w:rsidP="00D56E4A">
      <w:pPr>
        <w:spacing w:after="0" w:line="240" w:lineRule="auto"/>
        <w:jc w:val="both"/>
      </w:pPr>
      <w:r>
        <w:t>The stover yield was highly influenced by nutrient management practices (</w:t>
      </w:r>
      <w:r w:rsidRPr="00AD2445">
        <w:t>Table 1</w:t>
      </w:r>
      <w:r>
        <w:t>). The stover yield under NE was found to be 12.7 t ha</w:t>
      </w:r>
      <w:r>
        <w:rPr>
          <w:vertAlign w:val="superscript"/>
        </w:rPr>
        <w:t>-1</w:t>
      </w:r>
      <w:r>
        <w:t>, which was highly significant than stover yield under farmer's practice (8.62 t ha</w:t>
      </w:r>
      <w:r>
        <w:rPr>
          <w:vertAlign w:val="superscript"/>
        </w:rPr>
        <w:t>-1</w:t>
      </w:r>
      <w:r>
        <w:t>). Inadequate supply of nutrients in farmer's practice might have led to reduced plant height, leaf area, etc. due to improper growth and development, which in turn results the lower stover yield of maize. Higher stover yield of maize under SSNM based practice was also agreed by earlier experiments (Kumar et al., 2015a; Kumar et al., 2015b; Vikram et al., 2015).</w:t>
      </w:r>
    </w:p>
    <w:p w:rsidR="00AC68F0" w:rsidRPr="00D56E4A" w:rsidRDefault="00D56E4A" w:rsidP="00D56E4A">
      <w:pPr>
        <w:spacing w:line="240" w:lineRule="auto"/>
        <w:jc w:val="both"/>
      </w:pPr>
      <w:r>
        <w:t>Similarly, the biological yield of maize under NE practice (21.92 t ha</w:t>
      </w:r>
      <w:r>
        <w:rPr>
          <w:vertAlign w:val="superscript"/>
        </w:rPr>
        <w:t>-1</w:t>
      </w:r>
      <w:r>
        <w:t>) was significantly higher than farmer's practice (13.55 t ha</w:t>
      </w:r>
      <w:r>
        <w:rPr>
          <w:vertAlign w:val="superscript"/>
        </w:rPr>
        <w:t>-1</w:t>
      </w:r>
      <w:r>
        <w:t>). The higher biological yield under NE practice was due to dynamic adjustment of fertilizer application rates based on crop requirement. Further, the judicious nutrient management</w:t>
      </w:r>
      <w:r w:rsidRPr="00105BF9">
        <w:t xml:space="preserve"> </w:t>
      </w:r>
      <w:r>
        <w:t>under NE based nutrient management practice has led to the higher grain, stover and biological yield over farmer's practice of nutrient management and has clearly indicated its benefit. Higher biological yield under SSNM based practice was also reported by Kumar et al. (2015b).</w:t>
      </w:r>
    </w:p>
    <w:p w:rsidR="00AC68F0" w:rsidRPr="00C913CD" w:rsidRDefault="00BF5EE3" w:rsidP="00AC68F0">
      <w:pPr>
        <w:spacing w:after="0" w:line="240" w:lineRule="auto"/>
        <w:jc w:val="both"/>
        <w:rPr>
          <w:rFonts w:cs="Times New Roman"/>
          <w:b/>
          <w:bCs/>
          <w:szCs w:val="24"/>
        </w:rPr>
      </w:pPr>
      <w:r w:rsidRPr="00C913CD">
        <w:rPr>
          <w:rFonts w:cs="Times New Roman"/>
          <w:b/>
          <w:bCs/>
          <w:szCs w:val="24"/>
        </w:rPr>
        <w:t>Yield attributing characters</w:t>
      </w:r>
    </w:p>
    <w:p w:rsidR="00BF5EE3" w:rsidRDefault="00BF5EE3" w:rsidP="00AC68F0">
      <w:pPr>
        <w:spacing w:after="0" w:line="240" w:lineRule="auto"/>
        <w:jc w:val="both"/>
        <w:rPr>
          <w:rFonts w:cs="Times New Roman"/>
          <w:szCs w:val="24"/>
        </w:rPr>
      </w:pPr>
      <w:r w:rsidRPr="00C913CD">
        <w:rPr>
          <w:rFonts w:cs="Times New Roman"/>
          <w:szCs w:val="24"/>
        </w:rPr>
        <w:t xml:space="preserve">The result showed that yield attributing characters </w:t>
      </w:r>
      <w:r w:rsidR="001117F3">
        <w:rPr>
          <w:rFonts w:cs="Times New Roman"/>
          <w:szCs w:val="24"/>
        </w:rPr>
        <w:t xml:space="preserve">viz. average </w:t>
      </w:r>
      <w:r w:rsidRPr="00C913CD">
        <w:rPr>
          <w:rFonts w:cs="Times New Roman"/>
          <w:szCs w:val="24"/>
        </w:rPr>
        <w:t>plant number per m</w:t>
      </w:r>
      <w:r w:rsidRPr="00C913CD">
        <w:rPr>
          <w:rFonts w:cs="Times New Roman"/>
          <w:szCs w:val="24"/>
          <w:vertAlign w:val="superscript"/>
        </w:rPr>
        <w:t>2</w:t>
      </w:r>
      <w:r w:rsidRPr="00C913CD">
        <w:rPr>
          <w:rFonts w:cs="Times New Roman"/>
          <w:szCs w:val="24"/>
        </w:rPr>
        <w:t>, average cob number per m</w:t>
      </w:r>
      <w:r w:rsidRPr="00C913CD">
        <w:rPr>
          <w:rFonts w:cs="Times New Roman"/>
          <w:szCs w:val="24"/>
          <w:vertAlign w:val="superscript"/>
        </w:rPr>
        <w:t>2</w:t>
      </w:r>
      <w:r w:rsidRPr="00C913CD">
        <w:rPr>
          <w:rFonts w:cs="Times New Roman"/>
          <w:szCs w:val="24"/>
        </w:rPr>
        <w:t>, average kernel row per cob, average kernel number per row, average kernel number per cob and test weight were highly influenced by nutrient management practices</w:t>
      </w:r>
      <w:r w:rsidR="00903342">
        <w:rPr>
          <w:rFonts w:cs="Times New Roman"/>
          <w:szCs w:val="24"/>
        </w:rPr>
        <w:t xml:space="preserve"> (Table 2)</w:t>
      </w:r>
      <w:r w:rsidRPr="00C913CD">
        <w:rPr>
          <w:rFonts w:cs="Times New Roman"/>
          <w:szCs w:val="24"/>
        </w:rPr>
        <w:t>. The average plant number per m</w:t>
      </w:r>
      <w:r w:rsidRPr="00C913CD">
        <w:rPr>
          <w:rFonts w:cs="Times New Roman"/>
          <w:szCs w:val="24"/>
          <w:vertAlign w:val="superscript"/>
        </w:rPr>
        <w:t>2</w:t>
      </w:r>
      <w:r w:rsidRPr="00C913CD">
        <w:rPr>
          <w:rFonts w:cs="Times New Roman"/>
          <w:szCs w:val="24"/>
        </w:rPr>
        <w:t xml:space="preserve"> (7.6), average cob number per m</w:t>
      </w:r>
      <w:r w:rsidRPr="00C913CD">
        <w:rPr>
          <w:rFonts w:cs="Times New Roman"/>
          <w:szCs w:val="24"/>
          <w:vertAlign w:val="superscript"/>
        </w:rPr>
        <w:t>2</w:t>
      </w:r>
      <w:r w:rsidRPr="00C913CD">
        <w:rPr>
          <w:rFonts w:cs="Times New Roman"/>
          <w:szCs w:val="24"/>
        </w:rPr>
        <w:t xml:space="preserve"> (8.2), average kernel row per cob (14.2), average kernel number per row (42.4), average kernel number per cob (589.9) and test weight (361.4 g) under NE practice was found to be highly significant than the farmer's fertilizer practice. Optimum plant population was found under NE due to recommendation from nutrient expert with proper spacing, whereas lower plant population in FFP was due to improper spacing and seed rate. The higher cob number per m</w:t>
      </w:r>
      <w:r w:rsidRPr="00C913CD">
        <w:rPr>
          <w:rFonts w:cs="Times New Roman"/>
          <w:szCs w:val="24"/>
          <w:vertAlign w:val="superscript"/>
        </w:rPr>
        <w:t>2</w:t>
      </w:r>
      <w:r w:rsidRPr="00C913CD">
        <w:rPr>
          <w:rFonts w:cs="Times New Roman"/>
          <w:szCs w:val="24"/>
        </w:rPr>
        <w:t xml:space="preserve"> in NE practice was due to higher number of plants per m</w:t>
      </w:r>
      <w:r w:rsidRPr="00C913CD">
        <w:rPr>
          <w:rFonts w:cs="Times New Roman"/>
          <w:szCs w:val="24"/>
          <w:vertAlign w:val="superscript"/>
        </w:rPr>
        <w:t>2</w:t>
      </w:r>
      <w:r w:rsidRPr="00C913CD">
        <w:rPr>
          <w:rFonts w:cs="Times New Roman"/>
          <w:szCs w:val="24"/>
        </w:rPr>
        <w:t xml:space="preserve">. The difference in kernel number in row and cob under NE and FFP, although there is no difference in cob length (Table 2), suggest us that there was better translocation and assimilation of photosynthates from source to sink in NE practice. Further, it suggests us that lower kernel number in row and cob in FFP might be due to incomplete grain filling in the rows and cob under farmer's fertilizer practice. Similar results were also obtained by various researchers in their experiments (Kumar </w:t>
      </w:r>
      <w:r w:rsidR="000A61D0" w:rsidRPr="000A61D0">
        <w:rPr>
          <w:rFonts w:cs="Times New Roman"/>
          <w:i/>
          <w:iCs/>
          <w:szCs w:val="24"/>
        </w:rPr>
        <w:t>et al.</w:t>
      </w:r>
      <w:r w:rsidRPr="00C913CD">
        <w:rPr>
          <w:rFonts w:cs="Times New Roman"/>
          <w:szCs w:val="24"/>
        </w:rPr>
        <w:t xml:space="preserve">, 2014; Chauhan, 2015; Kumar </w:t>
      </w:r>
      <w:r w:rsidR="000A61D0" w:rsidRPr="000A61D0">
        <w:rPr>
          <w:rFonts w:cs="Times New Roman"/>
          <w:i/>
          <w:iCs/>
          <w:szCs w:val="24"/>
        </w:rPr>
        <w:t>et al.</w:t>
      </w:r>
      <w:r w:rsidRPr="00C913CD">
        <w:rPr>
          <w:rFonts w:cs="Times New Roman"/>
          <w:szCs w:val="24"/>
        </w:rPr>
        <w:t xml:space="preserve">, 2015a; Vikram </w:t>
      </w:r>
      <w:r w:rsidR="000A61D0" w:rsidRPr="000A61D0">
        <w:rPr>
          <w:rFonts w:cs="Times New Roman"/>
          <w:i/>
          <w:iCs/>
          <w:szCs w:val="24"/>
        </w:rPr>
        <w:t>et al.</w:t>
      </w:r>
      <w:r w:rsidRPr="00C913CD">
        <w:rPr>
          <w:rFonts w:cs="Times New Roman"/>
          <w:szCs w:val="24"/>
        </w:rPr>
        <w:t>, 2015 and Sinha, 2016).</w:t>
      </w:r>
    </w:p>
    <w:p w:rsidR="00AC68F0" w:rsidRPr="00C913CD" w:rsidRDefault="00AC68F0" w:rsidP="00AC68F0">
      <w:pPr>
        <w:spacing w:after="0" w:line="240" w:lineRule="auto"/>
        <w:jc w:val="both"/>
        <w:rPr>
          <w:rFonts w:cs="Times New Roman"/>
          <w:szCs w:val="24"/>
        </w:rPr>
      </w:pPr>
    </w:p>
    <w:p w:rsidR="00BF5EE3" w:rsidRPr="00C913CD" w:rsidRDefault="00BF5EE3" w:rsidP="00AC68F0">
      <w:pPr>
        <w:spacing w:after="0" w:line="240" w:lineRule="auto"/>
        <w:ind w:left="1080" w:hanging="1080"/>
        <w:jc w:val="both"/>
        <w:rPr>
          <w:rFonts w:cs="Times New Roman"/>
          <w:szCs w:val="24"/>
        </w:rPr>
      </w:pPr>
      <w:r w:rsidRPr="00C913CD">
        <w:rPr>
          <w:rFonts w:cs="Times New Roman"/>
          <w:szCs w:val="24"/>
        </w:rPr>
        <w:t xml:space="preserve">Table 2. Yield attributes of maize as affected by nutrient management practices at </w:t>
      </w:r>
      <w:r w:rsidR="0097474E">
        <w:rPr>
          <w:rFonts w:cs="Times New Roman"/>
          <w:szCs w:val="24"/>
        </w:rPr>
        <w:t>Damak</w:t>
      </w:r>
      <w:r w:rsidRPr="00C913CD">
        <w:rPr>
          <w:rFonts w:cs="Times New Roman"/>
          <w:szCs w:val="24"/>
        </w:rPr>
        <w:t xml:space="preserve"> and Gauradaha, Jhapa, Nepal, 2015/16</w:t>
      </w:r>
    </w:p>
    <w:tbl>
      <w:tblPr>
        <w:tblW w:w="5000" w:type="pct"/>
        <w:tblBorders>
          <w:top w:val="single" w:sz="4" w:space="0" w:color="auto"/>
          <w:bottom w:val="single" w:sz="4" w:space="0" w:color="auto"/>
        </w:tblBorders>
        <w:tblLayout w:type="fixed"/>
        <w:tblLook w:val="04A0" w:firstRow="1" w:lastRow="0" w:firstColumn="1" w:lastColumn="0" w:noHBand="0" w:noVBand="1"/>
      </w:tblPr>
      <w:tblGrid>
        <w:gridCol w:w="1459"/>
        <w:gridCol w:w="995"/>
        <w:gridCol w:w="1076"/>
        <w:gridCol w:w="1170"/>
        <w:gridCol w:w="1170"/>
        <w:gridCol w:w="1080"/>
        <w:gridCol w:w="1080"/>
        <w:gridCol w:w="1215"/>
      </w:tblGrid>
      <w:tr w:rsidR="00BF5EE3" w:rsidRPr="00C913CD" w:rsidTr="00932524">
        <w:trPr>
          <w:trHeight w:val="20"/>
        </w:trPr>
        <w:tc>
          <w:tcPr>
            <w:tcW w:w="789" w:type="pct"/>
            <w:tcBorders>
              <w:bottom w:val="single" w:sz="4" w:space="0" w:color="auto"/>
            </w:tcBorders>
            <w:shd w:val="clear" w:color="auto" w:fill="auto"/>
            <w:noWrap/>
            <w:vAlign w:val="center"/>
            <w:hideMark/>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Treatment</w:t>
            </w:r>
          </w:p>
        </w:tc>
        <w:tc>
          <w:tcPr>
            <w:tcW w:w="538" w:type="pct"/>
            <w:tcBorders>
              <w:bottom w:val="single" w:sz="4" w:space="0" w:color="auto"/>
            </w:tcBorders>
            <w:shd w:val="clear" w:color="auto" w:fill="auto"/>
            <w:noWrap/>
            <w:vAlign w:val="bottom"/>
            <w:hideMark/>
          </w:tcPr>
          <w:p w:rsidR="00BF5EE3" w:rsidRPr="00C913CD" w:rsidRDefault="00BF5EE3" w:rsidP="00AC68F0">
            <w:pPr>
              <w:spacing w:after="0" w:line="240" w:lineRule="auto"/>
              <w:jc w:val="both"/>
              <w:rPr>
                <w:rFonts w:eastAsia="Times New Roman" w:cs="Times New Roman"/>
                <w:color w:val="000000"/>
                <w:szCs w:val="24"/>
                <w:vertAlign w:val="superscript"/>
              </w:rPr>
            </w:pPr>
            <w:r w:rsidRPr="00C913CD">
              <w:rPr>
                <w:rFonts w:eastAsia="Times New Roman" w:cs="Times New Roman"/>
                <w:color w:val="000000"/>
                <w:szCs w:val="24"/>
              </w:rPr>
              <w:t>Avg. Plant no. m</w:t>
            </w:r>
            <w:r w:rsidRPr="00C913CD">
              <w:rPr>
                <w:rFonts w:eastAsia="Times New Roman" w:cs="Times New Roman"/>
                <w:color w:val="000000"/>
                <w:szCs w:val="24"/>
                <w:vertAlign w:val="superscript"/>
              </w:rPr>
              <w:noBreakHyphen/>
              <w:t>2</w:t>
            </w:r>
          </w:p>
        </w:tc>
        <w:tc>
          <w:tcPr>
            <w:tcW w:w="582" w:type="pct"/>
            <w:tcBorders>
              <w:bottom w:val="single" w:sz="4" w:space="0" w:color="auto"/>
            </w:tcBorders>
            <w:shd w:val="clear" w:color="auto" w:fill="auto"/>
            <w:noWrap/>
            <w:vAlign w:val="bottom"/>
            <w:hideMark/>
          </w:tcPr>
          <w:p w:rsidR="00BF5EE3" w:rsidRPr="00C913CD" w:rsidRDefault="00BF5EE3" w:rsidP="00AC68F0">
            <w:pPr>
              <w:spacing w:after="0" w:line="240" w:lineRule="auto"/>
              <w:jc w:val="both"/>
              <w:rPr>
                <w:rFonts w:eastAsia="Times New Roman" w:cs="Times New Roman"/>
                <w:color w:val="000000"/>
                <w:szCs w:val="24"/>
                <w:vertAlign w:val="superscript"/>
              </w:rPr>
            </w:pPr>
            <w:r w:rsidRPr="00C913CD">
              <w:rPr>
                <w:rFonts w:eastAsia="Times New Roman" w:cs="Times New Roman"/>
                <w:color w:val="000000"/>
                <w:szCs w:val="24"/>
              </w:rPr>
              <w:t>Avg. Cob no. m</w:t>
            </w:r>
            <w:r w:rsidRPr="00C913CD">
              <w:rPr>
                <w:rFonts w:eastAsia="Times New Roman" w:cs="Times New Roman"/>
                <w:color w:val="000000"/>
                <w:szCs w:val="24"/>
                <w:vertAlign w:val="superscript"/>
              </w:rPr>
              <w:t>-2</w:t>
            </w:r>
          </w:p>
        </w:tc>
        <w:tc>
          <w:tcPr>
            <w:tcW w:w="633" w:type="pct"/>
            <w:tcBorders>
              <w:bottom w:val="single" w:sz="4" w:space="0" w:color="auto"/>
            </w:tcBorders>
            <w:shd w:val="clear" w:color="auto" w:fill="auto"/>
            <w:noWrap/>
            <w:vAlign w:val="bottom"/>
            <w:hideMark/>
          </w:tcPr>
          <w:p w:rsidR="00BF5EE3" w:rsidRPr="00C913CD" w:rsidRDefault="00BF5EE3" w:rsidP="00AC68F0">
            <w:pPr>
              <w:spacing w:after="0" w:line="240" w:lineRule="auto"/>
              <w:jc w:val="both"/>
              <w:rPr>
                <w:rFonts w:eastAsia="Times New Roman" w:cs="Times New Roman"/>
                <w:color w:val="000000"/>
                <w:szCs w:val="24"/>
                <w:vertAlign w:val="superscript"/>
              </w:rPr>
            </w:pPr>
            <w:r w:rsidRPr="00C913CD">
              <w:rPr>
                <w:rFonts w:eastAsia="Times New Roman" w:cs="Times New Roman"/>
                <w:color w:val="000000"/>
                <w:szCs w:val="24"/>
              </w:rPr>
              <w:t xml:space="preserve"> Avg. Kernel row cob</w:t>
            </w:r>
            <w:r w:rsidRPr="00C913CD">
              <w:rPr>
                <w:rFonts w:eastAsia="Times New Roman" w:cs="Times New Roman"/>
                <w:color w:val="000000"/>
                <w:szCs w:val="24"/>
                <w:vertAlign w:val="superscript"/>
              </w:rPr>
              <w:t>-1</w:t>
            </w:r>
          </w:p>
        </w:tc>
        <w:tc>
          <w:tcPr>
            <w:tcW w:w="633" w:type="pct"/>
            <w:tcBorders>
              <w:bottom w:val="single" w:sz="4" w:space="0" w:color="auto"/>
            </w:tcBorders>
            <w:shd w:val="clear" w:color="auto" w:fill="auto"/>
            <w:noWrap/>
            <w:vAlign w:val="bottom"/>
            <w:hideMark/>
          </w:tcPr>
          <w:p w:rsidR="00BF5EE3" w:rsidRPr="00C913CD" w:rsidRDefault="00BF5EE3" w:rsidP="00AC68F0">
            <w:pPr>
              <w:spacing w:after="0" w:line="240" w:lineRule="auto"/>
              <w:jc w:val="both"/>
              <w:rPr>
                <w:rFonts w:eastAsia="Times New Roman" w:cs="Times New Roman"/>
                <w:color w:val="000000"/>
                <w:szCs w:val="24"/>
                <w:vertAlign w:val="superscript"/>
              </w:rPr>
            </w:pPr>
            <w:r w:rsidRPr="00C913CD">
              <w:rPr>
                <w:rFonts w:eastAsia="Times New Roman" w:cs="Times New Roman"/>
                <w:color w:val="000000"/>
                <w:szCs w:val="24"/>
              </w:rPr>
              <w:t>Avg. Kernels no. row</w:t>
            </w:r>
            <w:r w:rsidRPr="00C913CD">
              <w:rPr>
                <w:rFonts w:eastAsia="Times New Roman" w:cs="Times New Roman"/>
                <w:color w:val="000000"/>
                <w:szCs w:val="24"/>
                <w:vertAlign w:val="superscript"/>
              </w:rPr>
              <w:t>-1</w:t>
            </w:r>
          </w:p>
        </w:tc>
        <w:tc>
          <w:tcPr>
            <w:tcW w:w="584" w:type="pct"/>
            <w:tcBorders>
              <w:bottom w:val="single" w:sz="4" w:space="0" w:color="auto"/>
            </w:tcBorders>
            <w:vAlign w:val="bottom"/>
          </w:tcPr>
          <w:p w:rsidR="00BF5EE3" w:rsidRPr="00C913CD" w:rsidRDefault="00BF5EE3" w:rsidP="00AC68F0">
            <w:pPr>
              <w:spacing w:after="0" w:line="240" w:lineRule="auto"/>
              <w:jc w:val="both"/>
              <w:rPr>
                <w:rFonts w:eastAsia="Times New Roman" w:cs="Times New Roman"/>
                <w:color w:val="000000"/>
                <w:szCs w:val="24"/>
                <w:vertAlign w:val="superscript"/>
              </w:rPr>
            </w:pPr>
            <w:r w:rsidRPr="00C913CD">
              <w:rPr>
                <w:rFonts w:eastAsia="Times New Roman" w:cs="Times New Roman"/>
                <w:color w:val="000000"/>
                <w:szCs w:val="24"/>
              </w:rPr>
              <w:t>Avg. Kernels no. cob</w:t>
            </w:r>
            <w:r w:rsidRPr="00C913CD">
              <w:rPr>
                <w:rFonts w:eastAsia="Times New Roman" w:cs="Times New Roman"/>
                <w:color w:val="000000"/>
                <w:szCs w:val="24"/>
                <w:vertAlign w:val="superscript"/>
              </w:rPr>
              <w:t>-1</w:t>
            </w:r>
          </w:p>
        </w:tc>
        <w:tc>
          <w:tcPr>
            <w:tcW w:w="584" w:type="pct"/>
            <w:tcBorders>
              <w:bottom w:val="single" w:sz="4" w:space="0" w:color="auto"/>
            </w:tcBorders>
            <w:vAlign w:val="bottom"/>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Test Weight (g)</w:t>
            </w:r>
          </w:p>
        </w:tc>
        <w:tc>
          <w:tcPr>
            <w:tcW w:w="658" w:type="pct"/>
            <w:tcBorders>
              <w:bottom w:val="single" w:sz="4" w:space="0" w:color="auto"/>
            </w:tcBorders>
            <w:vAlign w:val="bottom"/>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Avg. Cob length (cm)</w:t>
            </w:r>
          </w:p>
        </w:tc>
      </w:tr>
      <w:tr w:rsidR="00BF5EE3" w:rsidRPr="00C913CD" w:rsidTr="00932524">
        <w:trPr>
          <w:trHeight w:val="20"/>
        </w:trPr>
        <w:tc>
          <w:tcPr>
            <w:tcW w:w="789" w:type="pct"/>
            <w:tcBorders>
              <w:top w:val="single" w:sz="4" w:space="0" w:color="auto"/>
              <w:bottom w:val="nil"/>
            </w:tcBorders>
            <w:shd w:val="clear" w:color="auto" w:fill="auto"/>
            <w:noWrap/>
            <w:vAlign w:val="bottom"/>
            <w:hideMark/>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NE</w:t>
            </w:r>
          </w:p>
        </w:tc>
        <w:tc>
          <w:tcPr>
            <w:tcW w:w="538" w:type="pct"/>
            <w:tcBorders>
              <w:top w:val="single" w:sz="4" w:space="0" w:color="auto"/>
              <w:bottom w:val="nil"/>
            </w:tcBorders>
            <w:shd w:val="clear" w:color="auto" w:fill="auto"/>
            <w:noWrap/>
            <w:vAlign w:val="bottom"/>
            <w:hideMark/>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7.6</w:t>
            </w:r>
          </w:p>
        </w:tc>
        <w:tc>
          <w:tcPr>
            <w:tcW w:w="582" w:type="pct"/>
            <w:tcBorders>
              <w:top w:val="single" w:sz="4" w:space="0" w:color="auto"/>
              <w:bottom w:val="nil"/>
            </w:tcBorders>
            <w:shd w:val="clear" w:color="auto" w:fill="auto"/>
            <w:noWrap/>
            <w:vAlign w:val="bottom"/>
            <w:hideMark/>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8.2</w:t>
            </w:r>
          </w:p>
        </w:tc>
        <w:tc>
          <w:tcPr>
            <w:tcW w:w="633" w:type="pct"/>
            <w:tcBorders>
              <w:top w:val="single" w:sz="4" w:space="0" w:color="auto"/>
              <w:bottom w:val="nil"/>
            </w:tcBorders>
            <w:shd w:val="clear" w:color="auto" w:fill="auto"/>
            <w:noWrap/>
            <w:vAlign w:val="bottom"/>
            <w:hideMark/>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14.2</w:t>
            </w:r>
          </w:p>
        </w:tc>
        <w:tc>
          <w:tcPr>
            <w:tcW w:w="633" w:type="pct"/>
            <w:tcBorders>
              <w:top w:val="single" w:sz="4" w:space="0" w:color="auto"/>
              <w:bottom w:val="nil"/>
            </w:tcBorders>
            <w:shd w:val="clear" w:color="auto" w:fill="auto"/>
            <w:noWrap/>
            <w:vAlign w:val="bottom"/>
            <w:hideMark/>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42.4</w:t>
            </w:r>
          </w:p>
        </w:tc>
        <w:tc>
          <w:tcPr>
            <w:tcW w:w="584" w:type="pct"/>
            <w:tcBorders>
              <w:top w:val="single" w:sz="4" w:space="0" w:color="auto"/>
              <w:bottom w:val="nil"/>
            </w:tcBorders>
            <w:vAlign w:val="bottom"/>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589.9</w:t>
            </w:r>
          </w:p>
        </w:tc>
        <w:tc>
          <w:tcPr>
            <w:tcW w:w="584" w:type="pct"/>
            <w:tcBorders>
              <w:top w:val="single" w:sz="4" w:space="0" w:color="auto"/>
              <w:bottom w:val="nil"/>
            </w:tcBorders>
            <w:vAlign w:val="bottom"/>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361.4</w:t>
            </w:r>
          </w:p>
        </w:tc>
        <w:tc>
          <w:tcPr>
            <w:tcW w:w="658" w:type="pct"/>
            <w:tcBorders>
              <w:top w:val="single" w:sz="4" w:space="0" w:color="auto"/>
              <w:bottom w:val="nil"/>
            </w:tcBorders>
            <w:vAlign w:val="bottom"/>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18.1</w:t>
            </w:r>
          </w:p>
        </w:tc>
      </w:tr>
      <w:tr w:rsidR="00BF5EE3" w:rsidRPr="00C913CD" w:rsidTr="00932524">
        <w:trPr>
          <w:trHeight w:val="20"/>
        </w:trPr>
        <w:tc>
          <w:tcPr>
            <w:tcW w:w="789" w:type="pct"/>
            <w:tcBorders>
              <w:top w:val="nil"/>
              <w:bottom w:val="single" w:sz="4" w:space="0" w:color="auto"/>
            </w:tcBorders>
            <w:shd w:val="clear" w:color="auto" w:fill="auto"/>
            <w:noWrap/>
            <w:vAlign w:val="bottom"/>
            <w:hideMark/>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FFP</w:t>
            </w:r>
          </w:p>
        </w:tc>
        <w:tc>
          <w:tcPr>
            <w:tcW w:w="538" w:type="pct"/>
            <w:tcBorders>
              <w:top w:val="nil"/>
              <w:bottom w:val="single" w:sz="4" w:space="0" w:color="auto"/>
            </w:tcBorders>
            <w:shd w:val="clear" w:color="auto" w:fill="auto"/>
            <w:noWrap/>
            <w:vAlign w:val="bottom"/>
            <w:hideMark/>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5.5</w:t>
            </w:r>
          </w:p>
        </w:tc>
        <w:tc>
          <w:tcPr>
            <w:tcW w:w="582" w:type="pct"/>
            <w:tcBorders>
              <w:top w:val="nil"/>
              <w:bottom w:val="single" w:sz="4" w:space="0" w:color="auto"/>
            </w:tcBorders>
            <w:shd w:val="clear" w:color="auto" w:fill="auto"/>
            <w:noWrap/>
            <w:vAlign w:val="bottom"/>
            <w:hideMark/>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5.8</w:t>
            </w:r>
          </w:p>
        </w:tc>
        <w:tc>
          <w:tcPr>
            <w:tcW w:w="633" w:type="pct"/>
            <w:tcBorders>
              <w:top w:val="nil"/>
              <w:bottom w:val="single" w:sz="4" w:space="0" w:color="auto"/>
            </w:tcBorders>
            <w:shd w:val="clear" w:color="auto" w:fill="auto"/>
            <w:noWrap/>
            <w:vAlign w:val="bottom"/>
            <w:hideMark/>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13.4</w:t>
            </w:r>
          </w:p>
        </w:tc>
        <w:tc>
          <w:tcPr>
            <w:tcW w:w="633" w:type="pct"/>
            <w:tcBorders>
              <w:top w:val="nil"/>
              <w:bottom w:val="single" w:sz="4" w:space="0" w:color="auto"/>
            </w:tcBorders>
            <w:shd w:val="clear" w:color="auto" w:fill="auto"/>
            <w:noWrap/>
            <w:vAlign w:val="bottom"/>
            <w:hideMark/>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38.6</w:t>
            </w:r>
          </w:p>
        </w:tc>
        <w:tc>
          <w:tcPr>
            <w:tcW w:w="584" w:type="pct"/>
            <w:tcBorders>
              <w:top w:val="nil"/>
              <w:bottom w:val="single" w:sz="4" w:space="0" w:color="auto"/>
            </w:tcBorders>
            <w:vAlign w:val="bottom"/>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502.4</w:t>
            </w:r>
          </w:p>
        </w:tc>
        <w:tc>
          <w:tcPr>
            <w:tcW w:w="584" w:type="pct"/>
            <w:tcBorders>
              <w:top w:val="nil"/>
              <w:bottom w:val="single" w:sz="4" w:space="0" w:color="auto"/>
            </w:tcBorders>
            <w:vAlign w:val="bottom"/>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310.4</w:t>
            </w:r>
          </w:p>
        </w:tc>
        <w:tc>
          <w:tcPr>
            <w:tcW w:w="658" w:type="pct"/>
            <w:tcBorders>
              <w:top w:val="nil"/>
              <w:bottom w:val="single" w:sz="4" w:space="0" w:color="auto"/>
            </w:tcBorders>
            <w:vAlign w:val="bottom"/>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17.3</w:t>
            </w:r>
          </w:p>
        </w:tc>
      </w:tr>
      <w:tr w:rsidR="00BF5EE3" w:rsidRPr="00C913CD" w:rsidTr="00932524">
        <w:trPr>
          <w:trHeight w:val="20"/>
        </w:trPr>
        <w:tc>
          <w:tcPr>
            <w:tcW w:w="789" w:type="pct"/>
            <w:tcBorders>
              <w:top w:val="single" w:sz="4" w:space="0" w:color="auto"/>
              <w:bottom w:val="nil"/>
            </w:tcBorders>
            <w:shd w:val="clear" w:color="auto" w:fill="auto"/>
            <w:noWrap/>
            <w:vAlign w:val="bottom"/>
            <w:hideMark/>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SEm (±)</w:t>
            </w:r>
          </w:p>
        </w:tc>
        <w:tc>
          <w:tcPr>
            <w:tcW w:w="538" w:type="pct"/>
            <w:tcBorders>
              <w:top w:val="single" w:sz="4" w:space="0" w:color="auto"/>
              <w:bottom w:val="nil"/>
            </w:tcBorders>
            <w:shd w:val="clear" w:color="auto" w:fill="auto"/>
            <w:noWrap/>
            <w:vAlign w:val="bottom"/>
            <w:hideMark/>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0.15</w:t>
            </w:r>
          </w:p>
        </w:tc>
        <w:tc>
          <w:tcPr>
            <w:tcW w:w="582" w:type="pct"/>
            <w:tcBorders>
              <w:top w:val="single" w:sz="4" w:space="0" w:color="auto"/>
              <w:bottom w:val="nil"/>
            </w:tcBorders>
            <w:shd w:val="clear" w:color="auto" w:fill="auto"/>
            <w:noWrap/>
            <w:vAlign w:val="bottom"/>
            <w:hideMark/>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0.15</w:t>
            </w:r>
          </w:p>
        </w:tc>
        <w:tc>
          <w:tcPr>
            <w:tcW w:w="633" w:type="pct"/>
            <w:tcBorders>
              <w:top w:val="single" w:sz="4" w:space="0" w:color="auto"/>
              <w:bottom w:val="nil"/>
            </w:tcBorders>
            <w:shd w:val="clear" w:color="auto" w:fill="auto"/>
            <w:noWrap/>
            <w:vAlign w:val="bottom"/>
            <w:hideMark/>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0.13</w:t>
            </w:r>
          </w:p>
        </w:tc>
        <w:tc>
          <w:tcPr>
            <w:tcW w:w="633" w:type="pct"/>
            <w:tcBorders>
              <w:top w:val="single" w:sz="4" w:space="0" w:color="auto"/>
              <w:bottom w:val="nil"/>
            </w:tcBorders>
            <w:shd w:val="clear" w:color="auto" w:fill="auto"/>
            <w:noWrap/>
            <w:vAlign w:val="bottom"/>
            <w:hideMark/>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0.54</w:t>
            </w:r>
          </w:p>
        </w:tc>
        <w:tc>
          <w:tcPr>
            <w:tcW w:w="584" w:type="pct"/>
            <w:tcBorders>
              <w:top w:val="single" w:sz="4" w:space="0" w:color="auto"/>
              <w:bottom w:val="nil"/>
            </w:tcBorders>
            <w:vAlign w:val="bottom"/>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10.58</w:t>
            </w:r>
          </w:p>
        </w:tc>
        <w:tc>
          <w:tcPr>
            <w:tcW w:w="584" w:type="pct"/>
            <w:tcBorders>
              <w:top w:val="single" w:sz="4" w:space="0" w:color="auto"/>
              <w:bottom w:val="nil"/>
            </w:tcBorders>
            <w:vAlign w:val="bottom"/>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4.15</w:t>
            </w:r>
          </w:p>
        </w:tc>
        <w:tc>
          <w:tcPr>
            <w:tcW w:w="658" w:type="pct"/>
            <w:tcBorders>
              <w:top w:val="single" w:sz="4" w:space="0" w:color="auto"/>
              <w:bottom w:val="nil"/>
            </w:tcBorders>
            <w:vAlign w:val="bottom"/>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0.71</w:t>
            </w:r>
          </w:p>
        </w:tc>
      </w:tr>
      <w:tr w:rsidR="00BF5EE3" w:rsidRPr="00C913CD" w:rsidTr="00932524">
        <w:trPr>
          <w:trHeight w:val="20"/>
        </w:trPr>
        <w:tc>
          <w:tcPr>
            <w:tcW w:w="789" w:type="pct"/>
            <w:tcBorders>
              <w:top w:val="nil"/>
              <w:bottom w:val="single" w:sz="4" w:space="0" w:color="auto"/>
            </w:tcBorders>
            <w:shd w:val="clear" w:color="auto" w:fill="auto"/>
            <w:noWrap/>
            <w:vAlign w:val="bottom"/>
            <w:hideMark/>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 xml:space="preserve">LSD </w:t>
            </w:r>
            <w:r w:rsidRPr="00C913CD">
              <w:rPr>
                <w:rFonts w:eastAsia="Times New Roman" w:cs="Times New Roman"/>
                <w:color w:val="000000"/>
                <w:szCs w:val="24"/>
                <w:vertAlign w:val="subscript"/>
              </w:rPr>
              <w:t>(0.05)</w:t>
            </w:r>
          </w:p>
        </w:tc>
        <w:tc>
          <w:tcPr>
            <w:tcW w:w="538" w:type="pct"/>
            <w:tcBorders>
              <w:top w:val="nil"/>
              <w:bottom w:val="single" w:sz="4" w:space="0" w:color="auto"/>
            </w:tcBorders>
            <w:shd w:val="clear" w:color="auto" w:fill="auto"/>
            <w:noWrap/>
            <w:vAlign w:val="bottom"/>
            <w:hideMark/>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0.431</w:t>
            </w:r>
          </w:p>
        </w:tc>
        <w:tc>
          <w:tcPr>
            <w:tcW w:w="582" w:type="pct"/>
            <w:tcBorders>
              <w:top w:val="nil"/>
              <w:bottom w:val="single" w:sz="4" w:space="0" w:color="auto"/>
            </w:tcBorders>
            <w:shd w:val="clear" w:color="auto" w:fill="auto"/>
            <w:noWrap/>
            <w:vAlign w:val="bottom"/>
            <w:hideMark/>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0.446</w:t>
            </w:r>
          </w:p>
        </w:tc>
        <w:tc>
          <w:tcPr>
            <w:tcW w:w="633" w:type="pct"/>
            <w:tcBorders>
              <w:top w:val="nil"/>
              <w:bottom w:val="single" w:sz="4" w:space="0" w:color="auto"/>
            </w:tcBorders>
            <w:shd w:val="clear" w:color="auto" w:fill="auto"/>
            <w:noWrap/>
            <w:vAlign w:val="bottom"/>
            <w:hideMark/>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0.378</w:t>
            </w:r>
          </w:p>
        </w:tc>
        <w:tc>
          <w:tcPr>
            <w:tcW w:w="633" w:type="pct"/>
            <w:tcBorders>
              <w:top w:val="nil"/>
              <w:bottom w:val="single" w:sz="4" w:space="0" w:color="auto"/>
            </w:tcBorders>
            <w:shd w:val="clear" w:color="auto" w:fill="auto"/>
            <w:noWrap/>
            <w:vAlign w:val="bottom"/>
            <w:hideMark/>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1.601</w:t>
            </w:r>
          </w:p>
        </w:tc>
        <w:tc>
          <w:tcPr>
            <w:tcW w:w="584" w:type="pct"/>
            <w:tcBorders>
              <w:top w:val="nil"/>
              <w:bottom w:val="single" w:sz="4" w:space="0" w:color="auto"/>
            </w:tcBorders>
            <w:vAlign w:val="bottom"/>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31.310</w:t>
            </w:r>
          </w:p>
        </w:tc>
        <w:tc>
          <w:tcPr>
            <w:tcW w:w="584" w:type="pct"/>
            <w:tcBorders>
              <w:top w:val="nil"/>
              <w:bottom w:val="single" w:sz="4" w:space="0" w:color="auto"/>
            </w:tcBorders>
            <w:vAlign w:val="bottom"/>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12.270</w:t>
            </w:r>
          </w:p>
        </w:tc>
        <w:tc>
          <w:tcPr>
            <w:tcW w:w="658" w:type="pct"/>
            <w:tcBorders>
              <w:top w:val="nil"/>
              <w:bottom w:val="single" w:sz="4" w:space="0" w:color="auto"/>
            </w:tcBorders>
            <w:vAlign w:val="bottom"/>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ns</w:t>
            </w:r>
          </w:p>
        </w:tc>
      </w:tr>
      <w:tr w:rsidR="00BF5EE3" w:rsidRPr="00C913CD" w:rsidTr="00932524">
        <w:trPr>
          <w:trHeight w:val="20"/>
        </w:trPr>
        <w:tc>
          <w:tcPr>
            <w:tcW w:w="789" w:type="pct"/>
            <w:tcBorders>
              <w:top w:val="single" w:sz="4" w:space="0" w:color="auto"/>
              <w:bottom w:val="single" w:sz="4" w:space="0" w:color="auto"/>
            </w:tcBorders>
            <w:shd w:val="clear" w:color="auto" w:fill="auto"/>
            <w:noWrap/>
            <w:vAlign w:val="bottom"/>
            <w:hideMark/>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P-value</w:t>
            </w:r>
          </w:p>
        </w:tc>
        <w:tc>
          <w:tcPr>
            <w:tcW w:w="538" w:type="pct"/>
            <w:tcBorders>
              <w:top w:val="single" w:sz="4" w:space="0" w:color="auto"/>
              <w:bottom w:val="single" w:sz="4" w:space="0" w:color="auto"/>
            </w:tcBorders>
            <w:shd w:val="clear" w:color="auto" w:fill="auto"/>
            <w:noWrap/>
            <w:vAlign w:val="bottom"/>
            <w:hideMark/>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&lt;.001</w:t>
            </w:r>
          </w:p>
        </w:tc>
        <w:tc>
          <w:tcPr>
            <w:tcW w:w="582" w:type="pct"/>
            <w:tcBorders>
              <w:top w:val="single" w:sz="4" w:space="0" w:color="auto"/>
              <w:bottom w:val="single" w:sz="4" w:space="0" w:color="auto"/>
            </w:tcBorders>
            <w:shd w:val="clear" w:color="auto" w:fill="auto"/>
            <w:noWrap/>
            <w:vAlign w:val="bottom"/>
            <w:hideMark/>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&lt;.001</w:t>
            </w:r>
          </w:p>
        </w:tc>
        <w:tc>
          <w:tcPr>
            <w:tcW w:w="633" w:type="pct"/>
            <w:tcBorders>
              <w:top w:val="single" w:sz="4" w:space="0" w:color="auto"/>
              <w:bottom w:val="single" w:sz="4" w:space="0" w:color="auto"/>
            </w:tcBorders>
            <w:shd w:val="clear" w:color="auto" w:fill="auto"/>
            <w:noWrap/>
            <w:vAlign w:val="bottom"/>
            <w:hideMark/>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&lt;.001</w:t>
            </w:r>
          </w:p>
        </w:tc>
        <w:tc>
          <w:tcPr>
            <w:tcW w:w="633" w:type="pct"/>
            <w:tcBorders>
              <w:top w:val="single" w:sz="4" w:space="0" w:color="auto"/>
              <w:bottom w:val="single" w:sz="4" w:space="0" w:color="auto"/>
            </w:tcBorders>
            <w:shd w:val="clear" w:color="auto" w:fill="auto"/>
            <w:noWrap/>
            <w:vAlign w:val="bottom"/>
            <w:hideMark/>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&lt;.001</w:t>
            </w:r>
          </w:p>
        </w:tc>
        <w:tc>
          <w:tcPr>
            <w:tcW w:w="584" w:type="pct"/>
            <w:tcBorders>
              <w:top w:val="single" w:sz="4" w:space="0" w:color="auto"/>
              <w:bottom w:val="single" w:sz="4" w:space="0" w:color="auto"/>
            </w:tcBorders>
            <w:vAlign w:val="bottom"/>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&lt;.001</w:t>
            </w:r>
          </w:p>
        </w:tc>
        <w:tc>
          <w:tcPr>
            <w:tcW w:w="584" w:type="pct"/>
            <w:tcBorders>
              <w:top w:val="single" w:sz="4" w:space="0" w:color="auto"/>
              <w:bottom w:val="single" w:sz="4" w:space="0" w:color="auto"/>
            </w:tcBorders>
            <w:vAlign w:val="bottom"/>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&lt;.001</w:t>
            </w:r>
          </w:p>
        </w:tc>
        <w:tc>
          <w:tcPr>
            <w:tcW w:w="658" w:type="pct"/>
            <w:tcBorders>
              <w:top w:val="single" w:sz="4" w:space="0" w:color="auto"/>
              <w:bottom w:val="single" w:sz="4" w:space="0" w:color="auto"/>
            </w:tcBorders>
            <w:vAlign w:val="bottom"/>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0.433</w:t>
            </w:r>
          </w:p>
        </w:tc>
      </w:tr>
      <w:tr w:rsidR="00BF5EE3" w:rsidRPr="00C913CD" w:rsidTr="00932524">
        <w:trPr>
          <w:trHeight w:val="20"/>
        </w:trPr>
        <w:tc>
          <w:tcPr>
            <w:tcW w:w="789" w:type="pct"/>
            <w:tcBorders>
              <w:top w:val="single" w:sz="4" w:space="0" w:color="auto"/>
              <w:bottom w:val="single" w:sz="4" w:space="0" w:color="auto"/>
            </w:tcBorders>
            <w:shd w:val="clear" w:color="auto" w:fill="auto"/>
            <w:noWrap/>
            <w:vAlign w:val="bottom"/>
            <w:hideMark/>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CV (%)</w:t>
            </w:r>
          </w:p>
        </w:tc>
        <w:tc>
          <w:tcPr>
            <w:tcW w:w="538" w:type="pct"/>
            <w:tcBorders>
              <w:top w:val="single" w:sz="4" w:space="0" w:color="auto"/>
              <w:bottom w:val="single" w:sz="4" w:space="0" w:color="auto"/>
            </w:tcBorders>
            <w:shd w:val="clear" w:color="auto" w:fill="auto"/>
            <w:noWrap/>
            <w:vAlign w:val="bottom"/>
            <w:hideMark/>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10</w:t>
            </w:r>
          </w:p>
        </w:tc>
        <w:tc>
          <w:tcPr>
            <w:tcW w:w="582" w:type="pct"/>
            <w:tcBorders>
              <w:top w:val="single" w:sz="4" w:space="0" w:color="auto"/>
              <w:bottom w:val="single" w:sz="4" w:space="0" w:color="auto"/>
            </w:tcBorders>
            <w:shd w:val="clear" w:color="auto" w:fill="auto"/>
            <w:noWrap/>
            <w:vAlign w:val="bottom"/>
            <w:hideMark/>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9.6</w:t>
            </w:r>
          </w:p>
        </w:tc>
        <w:tc>
          <w:tcPr>
            <w:tcW w:w="633" w:type="pct"/>
            <w:tcBorders>
              <w:top w:val="single" w:sz="4" w:space="0" w:color="auto"/>
              <w:bottom w:val="single" w:sz="4" w:space="0" w:color="auto"/>
            </w:tcBorders>
            <w:shd w:val="clear" w:color="auto" w:fill="auto"/>
            <w:noWrap/>
            <w:vAlign w:val="bottom"/>
            <w:hideMark/>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4.1</w:t>
            </w:r>
          </w:p>
        </w:tc>
        <w:tc>
          <w:tcPr>
            <w:tcW w:w="633" w:type="pct"/>
            <w:tcBorders>
              <w:top w:val="single" w:sz="4" w:space="0" w:color="auto"/>
              <w:bottom w:val="single" w:sz="4" w:space="0" w:color="auto"/>
            </w:tcBorders>
            <w:shd w:val="clear" w:color="auto" w:fill="auto"/>
            <w:noWrap/>
            <w:vAlign w:val="bottom"/>
            <w:hideMark/>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6</w:t>
            </w:r>
          </w:p>
        </w:tc>
        <w:tc>
          <w:tcPr>
            <w:tcW w:w="584" w:type="pct"/>
            <w:tcBorders>
              <w:top w:val="single" w:sz="4" w:space="0" w:color="auto"/>
              <w:bottom w:val="single" w:sz="4" w:space="0" w:color="auto"/>
            </w:tcBorders>
            <w:vAlign w:val="bottom"/>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8.7</w:t>
            </w:r>
          </w:p>
        </w:tc>
        <w:tc>
          <w:tcPr>
            <w:tcW w:w="584" w:type="pct"/>
            <w:tcBorders>
              <w:top w:val="single" w:sz="4" w:space="0" w:color="auto"/>
              <w:bottom w:val="single" w:sz="4" w:space="0" w:color="auto"/>
            </w:tcBorders>
            <w:vAlign w:val="bottom"/>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5.5</w:t>
            </w:r>
          </w:p>
        </w:tc>
        <w:tc>
          <w:tcPr>
            <w:tcW w:w="658" w:type="pct"/>
            <w:tcBorders>
              <w:top w:val="single" w:sz="4" w:space="0" w:color="auto"/>
              <w:bottom w:val="single" w:sz="4" w:space="0" w:color="auto"/>
            </w:tcBorders>
            <w:vAlign w:val="bottom"/>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18</w:t>
            </w:r>
          </w:p>
        </w:tc>
      </w:tr>
      <w:tr w:rsidR="00BF5EE3" w:rsidRPr="00C913CD" w:rsidTr="00932524">
        <w:trPr>
          <w:trHeight w:val="20"/>
        </w:trPr>
        <w:tc>
          <w:tcPr>
            <w:tcW w:w="789" w:type="pct"/>
            <w:tcBorders>
              <w:top w:val="single" w:sz="4" w:space="0" w:color="auto"/>
              <w:bottom w:val="single" w:sz="4" w:space="0" w:color="auto"/>
            </w:tcBorders>
            <w:shd w:val="clear" w:color="auto" w:fill="auto"/>
            <w:noWrap/>
            <w:vAlign w:val="bottom"/>
            <w:hideMark/>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Grand Mean</w:t>
            </w:r>
          </w:p>
        </w:tc>
        <w:tc>
          <w:tcPr>
            <w:tcW w:w="538" w:type="pct"/>
            <w:tcBorders>
              <w:top w:val="single" w:sz="4" w:space="0" w:color="auto"/>
              <w:bottom w:val="single" w:sz="4" w:space="0" w:color="auto"/>
            </w:tcBorders>
            <w:shd w:val="clear" w:color="auto" w:fill="auto"/>
            <w:noWrap/>
            <w:vAlign w:val="bottom"/>
            <w:hideMark/>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6.51</w:t>
            </w:r>
          </w:p>
        </w:tc>
        <w:tc>
          <w:tcPr>
            <w:tcW w:w="582" w:type="pct"/>
            <w:tcBorders>
              <w:top w:val="single" w:sz="4" w:space="0" w:color="auto"/>
              <w:bottom w:val="single" w:sz="4" w:space="0" w:color="auto"/>
            </w:tcBorders>
            <w:shd w:val="clear" w:color="auto" w:fill="auto"/>
            <w:noWrap/>
            <w:vAlign w:val="bottom"/>
            <w:hideMark/>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7.01</w:t>
            </w:r>
          </w:p>
        </w:tc>
        <w:tc>
          <w:tcPr>
            <w:tcW w:w="633" w:type="pct"/>
            <w:tcBorders>
              <w:top w:val="single" w:sz="4" w:space="0" w:color="auto"/>
              <w:bottom w:val="single" w:sz="4" w:space="0" w:color="auto"/>
            </w:tcBorders>
            <w:shd w:val="clear" w:color="auto" w:fill="auto"/>
            <w:noWrap/>
            <w:vAlign w:val="bottom"/>
            <w:hideMark/>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13.82</w:t>
            </w:r>
          </w:p>
        </w:tc>
        <w:tc>
          <w:tcPr>
            <w:tcW w:w="633" w:type="pct"/>
            <w:tcBorders>
              <w:top w:val="single" w:sz="4" w:space="0" w:color="auto"/>
              <w:bottom w:val="single" w:sz="4" w:space="0" w:color="auto"/>
            </w:tcBorders>
            <w:shd w:val="clear" w:color="auto" w:fill="auto"/>
            <w:noWrap/>
            <w:vAlign w:val="bottom"/>
            <w:hideMark/>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40.47</w:t>
            </w:r>
          </w:p>
        </w:tc>
        <w:tc>
          <w:tcPr>
            <w:tcW w:w="584" w:type="pct"/>
            <w:tcBorders>
              <w:top w:val="single" w:sz="4" w:space="0" w:color="auto"/>
              <w:bottom w:val="single" w:sz="4" w:space="0" w:color="auto"/>
            </w:tcBorders>
            <w:vAlign w:val="bottom"/>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546.1</w:t>
            </w:r>
          </w:p>
        </w:tc>
        <w:tc>
          <w:tcPr>
            <w:tcW w:w="584" w:type="pct"/>
            <w:tcBorders>
              <w:top w:val="single" w:sz="4" w:space="0" w:color="auto"/>
              <w:bottom w:val="single" w:sz="4" w:space="0" w:color="auto"/>
            </w:tcBorders>
            <w:vAlign w:val="bottom"/>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335.9</w:t>
            </w:r>
          </w:p>
        </w:tc>
        <w:tc>
          <w:tcPr>
            <w:tcW w:w="658" w:type="pct"/>
            <w:tcBorders>
              <w:top w:val="single" w:sz="4" w:space="0" w:color="auto"/>
              <w:bottom w:val="single" w:sz="4" w:space="0" w:color="auto"/>
            </w:tcBorders>
            <w:vAlign w:val="bottom"/>
          </w:tcPr>
          <w:p w:rsidR="00BF5EE3" w:rsidRPr="00C913CD" w:rsidRDefault="00BF5EE3" w:rsidP="00AC68F0">
            <w:pPr>
              <w:spacing w:after="0" w:line="240" w:lineRule="auto"/>
              <w:jc w:val="both"/>
              <w:rPr>
                <w:rFonts w:eastAsia="Times New Roman" w:cs="Times New Roman"/>
                <w:color w:val="000000"/>
                <w:szCs w:val="24"/>
              </w:rPr>
            </w:pPr>
            <w:r w:rsidRPr="00C913CD">
              <w:rPr>
                <w:rFonts w:eastAsia="Times New Roman" w:cs="Times New Roman"/>
                <w:color w:val="000000"/>
                <w:szCs w:val="24"/>
              </w:rPr>
              <w:t>17.67</w:t>
            </w:r>
          </w:p>
        </w:tc>
      </w:tr>
    </w:tbl>
    <w:p w:rsidR="00BF5EE3" w:rsidRDefault="00BF5EE3" w:rsidP="00AC68F0">
      <w:pPr>
        <w:spacing w:after="0" w:line="240" w:lineRule="auto"/>
        <w:jc w:val="both"/>
      </w:pPr>
    </w:p>
    <w:p w:rsidR="00DC5F26" w:rsidRDefault="00DC5F26" w:rsidP="00AC68F0">
      <w:pPr>
        <w:spacing w:after="0" w:line="240" w:lineRule="auto"/>
        <w:jc w:val="center"/>
        <w:rPr>
          <w:b/>
          <w:bCs/>
        </w:rPr>
      </w:pPr>
      <w:r w:rsidRPr="00DC5F26">
        <w:rPr>
          <w:b/>
          <w:bCs/>
        </w:rPr>
        <w:t>CONCLUSION</w:t>
      </w:r>
    </w:p>
    <w:p w:rsidR="00AC68F0" w:rsidRPr="00EA18F2" w:rsidRDefault="00DC5F26" w:rsidP="00AC68F0">
      <w:pPr>
        <w:spacing w:after="0" w:line="240" w:lineRule="auto"/>
        <w:jc w:val="both"/>
        <w:rPr>
          <w:rFonts w:eastAsia="Times New Roman" w:cs="Times New Roman"/>
          <w:color w:val="000000"/>
          <w:szCs w:val="24"/>
        </w:rPr>
      </w:pPr>
      <w:r w:rsidRPr="00EA18F2">
        <w:rPr>
          <w:rFonts w:cs="Times New Roman"/>
          <w:szCs w:val="24"/>
        </w:rPr>
        <w:t xml:space="preserve">Indiscriminate use of fertilizer and lack of site specific nutrient management technology is the main cause of low maize productivity in Nepal. Therefore, nutrient management is always the major concern in maize for increasing production in Nepal. The productivity of maize was increased under NE based nutrient management practice. Thus, </w:t>
      </w:r>
      <w:r w:rsidRPr="00EA18F2">
        <w:rPr>
          <w:rFonts w:eastAsia="Times New Roman" w:cs="Times New Roman"/>
          <w:color w:val="000000"/>
          <w:szCs w:val="24"/>
        </w:rPr>
        <w:t>NE based practice can be adopted for obtaining higher productivity in eastern terai region and similar agro-climatic condition of Nepal.</w:t>
      </w:r>
    </w:p>
    <w:p w:rsidR="00AC68F0" w:rsidRDefault="00DC5F26" w:rsidP="00D56E4A">
      <w:pPr>
        <w:spacing w:after="0" w:line="240" w:lineRule="auto"/>
        <w:jc w:val="center"/>
        <w:rPr>
          <w:b/>
          <w:bCs/>
        </w:rPr>
      </w:pPr>
      <w:r w:rsidRPr="00DC5F26">
        <w:rPr>
          <w:b/>
          <w:bCs/>
        </w:rPr>
        <w:t>LITERATURE CITED</w:t>
      </w:r>
    </w:p>
    <w:p w:rsidR="00D56E4A" w:rsidRDefault="00D56E4A" w:rsidP="00D56E4A">
      <w:pPr>
        <w:spacing w:after="0" w:line="240" w:lineRule="auto"/>
        <w:jc w:val="center"/>
        <w:rPr>
          <w:b/>
          <w:bCs/>
        </w:rPr>
      </w:pPr>
    </w:p>
    <w:p w:rsidR="00CB5299" w:rsidRPr="00AC68F0" w:rsidRDefault="00CB5299" w:rsidP="00AC68F0">
      <w:pPr>
        <w:spacing w:after="0" w:line="240" w:lineRule="auto"/>
        <w:ind w:left="720" w:hanging="720"/>
        <w:jc w:val="both"/>
        <w:rPr>
          <w:b/>
          <w:bCs/>
        </w:rPr>
      </w:pPr>
      <w:r>
        <w:rPr>
          <w:sz w:val="23"/>
          <w:szCs w:val="23"/>
        </w:rPr>
        <w:t>Chauhan, S. 2015. Assessing productivity and profitability of hybrid maize using Nutrient Expert®-maize model set in Jhapa. Undergraduate Practicum Assessment. B.Sc. (Ag.). Institute of Agriculture and Animal Science, Tribhuvan University.</w:t>
      </w:r>
    </w:p>
    <w:p w:rsidR="00CB5299" w:rsidRDefault="00CB5299" w:rsidP="00AC68F0">
      <w:pPr>
        <w:autoSpaceDE w:val="0"/>
        <w:autoSpaceDN w:val="0"/>
        <w:adjustRightInd w:val="0"/>
        <w:spacing w:after="0" w:line="240" w:lineRule="auto"/>
        <w:ind w:left="720" w:hanging="720"/>
        <w:jc w:val="both"/>
        <w:rPr>
          <w:rFonts w:cs="ArialMT"/>
          <w:szCs w:val="24"/>
        </w:rPr>
      </w:pPr>
      <w:r>
        <w:rPr>
          <w:rFonts w:cs="ArialMT"/>
          <w:szCs w:val="24"/>
        </w:rPr>
        <w:t>Ghimire, P., K.R. Dahal, S. Marahatta, K. Devkota and B.R. Ghimire. 2015. Site-specific nutrient management for rainfed maize in western mid-hills of Nepal. International Journal of Applied Sciences and Biotechnology 3(2): 227-231.</w:t>
      </w:r>
    </w:p>
    <w:p w:rsidR="00CB5299" w:rsidRDefault="00CB5299" w:rsidP="00AC68F0">
      <w:pPr>
        <w:autoSpaceDE w:val="0"/>
        <w:autoSpaceDN w:val="0"/>
        <w:adjustRightInd w:val="0"/>
        <w:spacing w:after="0" w:line="240" w:lineRule="auto"/>
        <w:ind w:left="720" w:hanging="720"/>
        <w:jc w:val="both"/>
        <w:rPr>
          <w:sz w:val="23"/>
          <w:szCs w:val="23"/>
        </w:rPr>
      </w:pPr>
      <w:r>
        <w:rPr>
          <w:sz w:val="23"/>
          <w:szCs w:val="23"/>
        </w:rPr>
        <w:t>Gomez, K. and A. Gomez. 1984. Statistical procedures for agricultural research. 2</w:t>
      </w:r>
      <w:r>
        <w:rPr>
          <w:sz w:val="16"/>
          <w:szCs w:val="16"/>
        </w:rPr>
        <w:t xml:space="preserve">nd </w:t>
      </w:r>
      <w:r>
        <w:rPr>
          <w:sz w:val="23"/>
          <w:szCs w:val="23"/>
        </w:rPr>
        <w:t>Ed. John Wiley and Sons, New York.</w:t>
      </w:r>
    </w:p>
    <w:p w:rsidR="00CB5299" w:rsidRDefault="00CB5299" w:rsidP="00AC68F0">
      <w:pPr>
        <w:spacing w:after="0" w:line="240" w:lineRule="auto"/>
        <w:ind w:left="720" w:hanging="720"/>
        <w:jc w:val="both"/>
        <w:rPr>
          <w:szCs w:val="24"/>
        </w:rPr>
      </w:pPr>
      <w:r>
        <w:rPr>
          <w:szCs w:val="24"/>
        </w:rPr>
        <w:t>K.C., G., T.B. Karki, J. Shrestha and B.B. Achhami. 2015. Status and prospects of maize research in Nepal. Journal of Maize Research and Development 1(1): 1-9.</w:t>
      </w:r>
    </w:p>
    <w:p w:rsidR="00CB5299" w:rsidRDefault="00CB5299" w:rsidP="00AC68F0">
      <w:pPr>
        <w:autoSpaceDE w:val="0"/>
        <w:autoSpaceDN w:val="0"/>
        <w:adjustRightInd w:val="0"/>
        <w:spacing w:after="0" w:line="240" w:lineRule="auto"/>
        <w:ind w:left="720" w:hanging="720"/>
        <w:jc w:val="both"/>
      </w:pPr>
      <w:r>
        <w:t>Kumar, V. A.K. Singh, S.L. Jat, C.M. Parihar, V. Pooniya and S. Sharma. 2015b. Nutrient uptake and fertilizer use efficiency of maize hybrids under conservation agriculture with Nutrient Expert based SSNM practices. Annals of Agricultural Research 36(2): 160-166.</w:t>
      </w:r>
    </w:p>
    <w:p w:rsidR="00CB5299" w:rsidRPr="003F5B71" w:rsidRDefault="00CB5299" w:rsidP="00AC68F0">
      <w:pPr>
        <w:autoSpaceDE w:val="0"/>
        <w:autoSpaceDN w:val="0"/>
        <w:adjustRightInd w:val="0"/>
        <w:spacing w:after="0" w:line="240" w:lineRule="auto"/>
        <w:ind w:left="720" w:hanging="720"/>
        <w:jc w:val="both"/>
        <w:rPr>
          <w:rFonts w:cs="Arial"/>
          <w:color w:val="222222"/>
          <w:szCs w:val="24"/>
          <w:shd w:val="clear" w:color="auto" w:fill="FFFFFF"/>
        </w:rPr>
      </w:pPr>
      <w:r>
        <w:rPr>
          <w:rFonts w:cs="Arial"/>
          <w:color w:val="222222"/>
          <w:szCs w:val="24"/>
          <w:shd w:val="clear" w:color="auto" w:fill="FFFFFF"/>
        </w:rPr>
        <w:t>Kumar, V., A.K. Singh, S.L. Jat, C.M. Parihar, V. Pooniya, S. Sharma and B. Singh. 2014.  Influence of site-specific nutrient management on growth and yield of maize (</w:t>
      </w:r>
      <w:r>
        <w:rPr>
          <w:rFonts w:cs="Arial"/>
          <w:i/>
          <w:iCs/>
          <w:color w:val="222222"/>
          <w:szCs w:val="24"/>
          <w:shd w:val="clear" w:color="auto" w:fill="FFFFFF"/>
        </w:rPr>
        <w:t>Zea mays</w:t>
      </w:r>
      <w:r>
        <w:rPr>
          <w:rFonts w:cs="Arial"/>
          <w:color w:val="222222"/>
          <w:szCs w:val="24"/>
          <w:shd w:val="clear" w:color="auto" w:fill="FFFFFF"/>
        </w:rPr>
        <w:t>) under conservation tillage. Indian Journal of Agronomy 59(4): 657-660.</w:t>
      </w:r>
    </w:p>
    <w:p w:rsidR="00CB5299" w:rsidRPr="00474217" w:rsidRDefault="00CB5299" w:rsidP="00AC68F0">
      <w:pPr>
        <w:autoSpaceDE w:val="0"/>
        <w:autoSpaceDN w:val="0"/>
        <w:adjustRightInd w:val="0"/>
        <w:spacing w:after="0" w:line="240" w:lineRule="auto"/>
        <w:ind w:left="720" w:hanging="720"/>
        <w:jc w:val="both"/>
        <w:rPr>
          <w:rFonts w:cs="Arial"/>
          <w:color w:val="222222"/>
          <w:szCs w:val="24"/>
          <w:shd w:val="clear" w:color="auto" w:fill="FFFFFF"/>
        </w:rPr>
      </w:pPr>
      <w:r>
        <w:rPr>
          <w:rFonts w:cs="Arial"/>
          <w:color w:val="222222"/>
          <w:szCs w:val="24"/>
          <w:shd w:val="clear" w:color="auto" w:fill="FFFFFF"/>
        </w:rPr>
        <w:t>Kumar, V., H.S. Purohit and D. Singh. 2015a. Production potential of maize (</w:t>
      </w:r>
      <w:r>
        <w:rPr>
          <w:rFonts w:cs="Arial"/>
          <w:i/>
          <w:iCs/>
          <w:color w:val="222222"/>
          <w:szCs w:val="24"/>
          <w:shd w:val="clear" w:color="auto" w:fill="FFFFFF"/>
        </w:rPr>
        <w:t xml:space="preserve">Zea mays </w:t>
      </w:r>
      <w:r>
        <w:rPr>
          <w:rFonts w:cs="Arial"/>
          <w:color w:val="222222"/>
          <w:szCs w:val="24"/>
          <w:shd w:val="clear" w:color="auto" w:fill="FFFFFF"/>
        </w:rPr>
        <w:t>L.) genotypes under different fertility levels. Annals of Biology 31(2): 228-231.</w:t>
      </w:r>
    </w:p>
    <w:p w:rsidR="00CB5299" w:rsidRDefault="00CB5299" w:rsidP="00AC68F0">
      <w:pPr>
        <w:autoSpaceDE w:val="0"/>
        <w:autoSpaceDN w:val="0"/>
        <w:adjustRightInd w:val="0"/>
        <w:spacing w:after="0" w:line="240" w:lineRule="auto"/>
        <w:ind w:left="720" w:hanging="720"/>
        <w:jc w:val="both"/>
        <w:rPr>
          <w:rFonts w:cs="ArialMT"/>
          <w:szCs w:val="24"/>
        </w:rPr>
      </w:pPr>
      <w:r>
        <w:rPr>
          <w:rFonts w:cs="ArialMT"/>
          <w:szCs w:val="24"/>
        </w:rPr>
        <w:t>Majumdar, K., T. Satyanarayana, S. Dutta, M. Pampolino, M.L. Jat, V. Shahi, W. Iftikar, V. Govil and V.K. Singh. 2014. On farm performance of Nutrient Expert® for maize: fertilizer recommendation, yield and nutrient use efficiency. Better Crops-South Asia 8(1): 24-26.</w:t>
      </w:r>
    </w:p>
    <w:p w:rsidR="00CB5299" w:rsidRDefault="00CB5299" w:rsidP="00AC68F0">
      <w:pPr>
        <w:spacing w:after="0" w:line="240" w:lineRule="auto"/>
        <w:ind w:left="720" w:hanging="720"/>
        <w:jc w:val="both"/>
        <w:rPr>
          <w:szCs w:val="24"/>
        </w:rPr>
      </w:pPr>
      <w:r>
        <w:rPr>
          <w:szCs w:val="24"/>
        </w:rPr>
        <w:t>MoAD. 2017. Statistical information on Nepalese agriculture (2015/16). Government of Nepal. Ministry of Agricultural Development. Monitoring, Evaluation and Statistics Division. Agri-Statistics Section. Singha Durbar, Kathmandu, Nepal.</w:t>
      </w:r>
    </w:p>
    <w:p w:rsidR="00CB5299" w:rsidRDefault="00CB5299" w:rsidP="00AC68F0">
      <w:pPr>
        <w:autoSpaceDE w:val="0"/>
        <w:autoSpaceDN w:val="0"/>
        <w:adjustRightInd w:val="0"/>
        <w:spacing w:after="0" w:line="240" w:lineRule="auto"/>
        <w:ind w:left="720" w:hanging="720"/>
        <w:jc w:val="both"/>
      </w:pPr>
      <w:r>
        <w:rPr>
          <w:szCs w:val="24"/>
        </w:rPr>
        <w:t>Pampolino, M.F., C. Witt, J.M.</w:t>
      </w:r>
      <w:r w:rsidRPr="00732570">
        <w:t xml:space="preserve"> </w:t>
      </w:r>
      <w:r>
        <w:t>Pasuquin, A.M. Johnston and M.J. Fisher. 2014. Development and evaluation of Nutrient Expert® decision support tool for cereal crops. Better Crops-South Asia 8(1): 4-6.</w:t>
      </w:r>
    </w:p>
    <w:p w:rsidR="00CB5299" w:rsidRDefault="00CB5299" w:rsidP="00AC68F0">
      <w:pPr>
        <w:autoSpaceDE w:val="0"/>
        <w:autoSpaceDN w:val="0"/>
        <w:adjustRightInd w:val="0"/>
        <w:spacing w:after="0" w:line="240" w:lineRule="auto"/>
        <w:ind w:left="720" w:hanging="720"/>
        <w:jc w:val="both"/>
        <w:rPr>
          <w:szCs w:val="24"/>
        </w:rPr>
      </w:pPr>
      <w:r>
        <w:rPr>
          <w:szCs w:val="24"/>
        </w:rPr>
        <w:t>Pooniya,V., S.L. Jat, A.K. Choudhary, A.K. Singh, C.M. Parihar, R.S. Bana, K. Swarnalakshmi and K.S. Rana. 2015. Nutrient Expert assisted site-specific nutrient management: An alternative precision fertilization technology for maize-wheat cropping system in South-Asian Indo-Gangetic Plains. Indian Journal of Agricultural Sciences 85(8): 996-1002.</w:t>
      </w:r>
    </w:p>
    <w:p w:rsidR="00CB5299" w:rsidRDefault="00CB5299" w:rsidP="00AC68F0">
      <w:pPr>
        <w:autoSpaceDE w:val="0"/>
        <w:autoSpaceDN w:val="0"/>
        <w:adjustRightInd w:val="0"/>
        <w:spacing w:after="0" w:line="240" w:lineRule="auto"/>
        <w:ind w:left="720" w:hanging="720"/>
        <w:jc w:val="both"/>
      </w:pPr>
      <w:r>
        <w:t>Sinha, A.K. 2016. Effect of site specific nutrient management on production and productivity of maize (</w:t>
      </w:r>
      <w:r w:rsidRPr="00474217">
        <w:rPr>
          <w:i/>
          <w:iCs/>
        </w:rPr>
        <w:t>Zea mays</w:t>
      </w:r>
      <w:r>
        <w:t xml:space="preserve"> L.) under mid hill condition of Chhatisgarh. Internat. J. Plant Sci. 11(2): 167-170.</w:t>
      </w:r>
    </w:p>
    <w:p w:rsidR="00BF5EE3" w:rsidRPr="00C913CD" w:rsidRDefault="00CB5299" w:rsidP="00E35BF8">
      <w:pPr>
        <w:spacing w:after="0" w:line="240" w:lineRule="auto"/>
        <w:ind w:left="720" w:hanging="720"/>
        <w:jc w:val="both"/>
        <w:rPr>
          <w:rFonts w:cs="Times New Roman"/>
          <w:szCs w:val="24"/>
        </w:rPr>
      </w:pPr>
      <w:r>
        <w:t>Vikram, A.P., D.P. Biradar, M.R. Umesh, M.A. Basavanneppa and K.N. Rao. 2015. Effect of nutrient management techniques on growth, yield and economics of hybrid maize (</w:t>
      </w:r>
      <w:r>
        <w:rPr>
          <w:i/>
          <w:iCs/>
        </w:rPr>
        <w:t>Zea mays</w:t>
      </w:r>
      <w:r>
        <w:t xml:space="preserve"> L.) in vertisols. Karnataka j. Agric. Sci. 28(4): 477-481.</w:t>
      </w:r>
    </w:p>
    <w:sectPr w:rsidR="00BF5EE3" w:rsidRPr="00C913CD" w:rsidSect="00BE6578">
      <w:headerReference w:type="even" r:id="rId8"/>
      <w:headerReference w:type="default" r:id="rId9"/>
      <w:footerReference w:type="even" r:id="rId10"/>
      <w:footerReference w:type="default" r:id="rId11"/>
      <w:headerReference w:type="first" r:id="rId12"/>
      <w:footerReference w:type="first" r:id="rId13"/>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2BDE" w:rsidRDefault="00E92BDE" w:rsidP="00C61192">
      <w:pPr>
        <w:spacing w:after="0" w:line="240" w:lineRule="auto"/>
      </w:pPr>
      <w:r>
        <w:separator/>
      </w:r>
    </w:p>
  </w:endnote>
  <w:endnote w:type="continuationSeparator" w:id="0">
    <w:p w:rsidR="00E92BDE" w:rsidRDefault="00E92BDE" w:rsidP="00C61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192" w:rsidRDefault="00C6119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7671596"/>
      <w:docPartObj>
        <w:docPartGallery w:val="Page Numbers (Bottom of Page)"/>
        <w:docPartUnique/>
      </w:docPartObj>
    </w:sdtPr>
    <w:sdtEndPr>
      <w:rPr>
        <w:noProof/>
      </w:rPr>
    </w:sdtEndPr>
    <w:sdtContent>
      <w:p w:rsidR="00C61192" w:rsidRDefault="00C61192">
        <w:pPr>
          <w:pStyle w:val="Footer"/>
          <w:jc w:val="right"/>
        </w:pPr>
        <w:r>
          <w:fldChar w:fldCharType="begin"/>
        </w:r>
        <w:r>
          <w:instrText xml:space="preserve"> PAGE   \* MERGEFORMAT </w:instrText>
        </w:r>
        <w:r>
          <w:fldChar w:fldCharType="separate"/>
        </w:r>
        <w:r w:rsidR="00E92BDE">
          <w:rPr>
            <w:noProof/>
          </w:rPr>
          <w:t>1</w:t>
        </w:r>
        <w:r>
          <w:rPr>
            <w:noProof/>
          </w:rPr>
          <w:fldChar w:fldCharType="end"/>
        </w:r>
      </w:p>
    </w:sdtContent>
  </w:sdt>
  <w:p w:rsidR="00C61192" w:rsidRDefault="00C6119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192" w:rsidRDefault="00C611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2BDE" w:rsidRDefault="00E92BDE" w:rsidP="00C61192">
      <w:pPr>
        <w:spacing w:after="0" w:line="240" w:lineRule="auto"/>
      </w:pPr>
      <w:r>
        <w:separator/>
      </w:r>
    </w:p>
  </w:footnote>
  <w:footnote w:type="continuationSeparator" w:id="0">
    <w:p w:rsidR="00E92BDE" w:rsidRDefault="00E92BDE" w:rsidP="00C611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192" w:rsidRDefault="00C611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192" w:rsidRDefault="00C6119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192" w:rsidRDefault="00C611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3CAA"/>
    <w:rsid w:val="000A61D0"/>
    <w:rsid w:val="000C1615"/>
    <w:rsid w:val="001117F3"/>
    <w:rsid w:val="001612F4"/>
    <w:rsid w:val="003E2EBB"/>
    <w:rsid w:val="00636B04"/>
    <w:rsid w:val="00782A94"/>
    <w:rsid w:val="0088607C"/>
    <w:rsid w:val="008A4572"/>
    <w:rsid w:val="00903342"/>
    <w:rsid w:val="0097474E"/>
    <w:rsid w:val="009C1FEE"/>
    <w:rsid w:val="00AC68F0"/>
    <w:rsid w:val="00BA3CAA"/>
    <w:rsid w:val="00BE6578"/>
    <w:rsid w:val="00BF5EE3"/>
    <w:rsid w:val="00C61192"/>
    <w:rsid w:val="00C913CD"/>
    <w:rsid w:val="00C91A82"/>
    <w:rsid w:val="00CB5299"/>
    <w:rsid w:val="00D56E4A"/>
    <w:rsid w:val="00D7788B"/>
    <w:rsid w:val="00DC5F26"/>
    <w:rsid w:val="00E35BF8"/>
    <w:rsid w:val="00E92BDE"/>
    <w:rsid w:val="00ED57CA"/>
    <w:rsid w:val="00EE46C7"/>
    <w:rsid w:val="00EF603B"/>
    <w:rsid w:val="00F520D8"/>
    <w:rsid w:val="00FA33CA"/>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w:sz w:val="24"/>
        <w:lang w:val="en-US" w:eastAsia="en-US" w:bidi="ne-NP"/>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CAA"/>
    <w:pPr>
      <w:spacing w:after="200" w:line="276" w:lineRule="auto"/>
    </w:pPr>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68F0"/>
    <w:rPr>
      <w:color w:val="0000FF" w:themeColor="hyperlink"/>
      <w:u w:val="single"/>
    </w:rPr>
  </w:style>
  <w:style w:type="paragraph" w:styleId="BalloonText">
    <w:name w:val="Balloon Text"/>
    <w:basedOn w:val="Normal"/>
    <w:link w:val="BalloonTextChar"/>
    <w:uiPriority w:val="99"/>
    <w:semiHidden/>
    <w:unhideWhenUsed/>
    <w:rsid w:val="00C61192"/>
    <w:pPr>
      <w:spacing w:after="0" w:line="240" w:lineRule="auto"/>
    </w:pPr>
    <w:rPr>
      <w:rFonts w:ascii="Calibri" w:hAnsi="Calibri" w:cs="Calibri"/>
      <w:sz w:val="16"/>
      <w:szCs w:val="14"/>
    </w:rPr>
  </w:style>
  <w:style w:type="character" w:customStyle="1" w:styleId="BalloonTextChar">
    <w:name w:val="Balloon Text Char"/>
    <w:basedOn w:val="DefaultParagraphFont"/>
    <w:link w:val="BalloonText"/>
    <w:uiPriority w:val="99"/>
    <w:semiHidden/>
    <w:rsid w:val="00C61192"/>
    <w:rPr>
      <w:rFonts w:ascii="Calibri" w:hAnsi="Calibri" w:cs="Calibri"/>
      <w:sz w:val="16"/>
      <w:szCs w:val="14"/>
    </w:rPr>
  </w:style>
  <w:style w:type="paragraph" w:styleId="Header">
    <w:name w:val="header"/>
    <w:basedOn w:val="Normal"/>
    <w:link w:val="HeaderChar"/>
    <w:uiPriority w:val="99"/>
    <w:unhideWhenUsed/>
    <w:rsid w:val="00C611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1192"/>
    <w:rPr>
      <w:rFonts w:cstheme="minorBidi"/>
    </w:rPr>
  </w:style>
  <w:style w:type="paragraph" w:styleId="Footer">
    <w:name w:val="footer"/>
    <w:basedOn w:val="Normal"/>
    <w:link w:val="FooterChar"/>
    <w:uiPriority w:val="99"/>
    <w:unhideWhenUsed/>
    <w:rsid w:val="00C611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1192"/>
    <w:rPr>
      <w:rFonts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w:sz w:val="24"/>
        <w:lang w:val="en-US" w:eastAsia="en-US" w:bidi="ne-NP"/>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CAA"/>
    <w:pPr>
      <w:spacing w:after="200" w:line="276" w:lineRule="auto"/>
    </w:pPr>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68F0"/>
    <w:rPr>
      <w:color w:val="0000FF" w:themeColor="hyperlink"/>
      <w:u w:val="single"/>
    </w:rPr>
  </w:style>
  <w:style w:type="paragraph" w:styleId="BalloonText">
    <w:name w:val="Balloon Text"/>
    <w:basedOn w:val="Normal"/>
    <w:link w:val="BalloonTextChar"/>
    <w:uiPriority w:val="99"/>
    <w:semiHidden/>
    <w:unhideWhenUsed/>
    <w:rsid w:val="00C61192"/>
    <w:pPr>
      <w:spacing w:after="0" w:line="240" w:lineRule="auto"/>
    </w:pPr>
    <w:rPr>
      <w:rFonts w:ascii="Calibri" w:hAnsi="Calibri" w:cs="Calibri"/>
      <w:sz w:val="16"/>
      <w:szCs w:val="14"/>
    </w:rPr>
  </w:style>
  <w:style w:type="character" w:customStyle="1" w:styleId="BalloonTextChar">
    <w:name w:val="Balloon Text Char"/>
    <w:basedOn w:val="DefaultParagraphFont"/>
    <w:link w:val="BalloonText"/>
    <w:uiPriority w:val="99"/>
    <w:semiHidden/>
    <w:rsid w:val="00C61192"/>
    <w:rPr>
      <w:rFonts w:ascii="Calibri" w:hAnsi="Calibri" w:cs="Calibri"/>
      <w:sz w:val="16"/>
      <w:szCs w:val="14"/>
    </w:rPr>
  </w:style>
  <w:style w:type="paragraph" w:styleId="Header">
    <w:name w:val="header"/>
    <w:basedOn w:val="Normal"/>
    <w:link w:val="HeaderChar"/>
    <w:uiPriority w:val="99"/>
    <w:unhideWhenUsed/>
    <w:rsid w:val="00C611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1192"/>
    <w:rPr>
      <w:rFonts w:cstheme="minorBidi"/>
    </w:rPr>
  </w:style>
  <w:style w:type="paragraph" w:styleId="Footer">
    <w:name w:val="footer"/>
    <w:basedOn w:val="Normal"/>
    <w:link w:val="FooterChar"/>
    <w:uiPriority w:val="99"/>
    <w:unhideWhenUsed/>
    <w:rsid w:val="00C611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1192"/>
    <w:rPr>
      <w:rFonts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samjhanakhanal04@gmail.com"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2010</Words>
  <Characters>11459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13443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Acer_pc</cp:lastModifiedBy>
  <cp:revision>2</cp:revision>
  <cp:lastPrinted>2017-08-25T08:33:00Z</cp:lastPrinted>
  <dcterms:created xsi:type="dcterms:W3CDTF">2017-09-16T13:42:00Z</dcterms:created>
  <dcterms:modified xsi:type="dcterms:W3CDTF">2017-09-16T13:42:00Z</dcterms:modified>
</cp:coreProperties>
</file>