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FE7" w:rsidRPr="00C366B4" w:rsidRDefault="00804FE7" w:rsidP="00804FE7">
      <w:pPr>
        <w:jc w:val="center"/>
        <w:rPr>
          <w:rFonts w:ascii="Arial" w:hAnsi="Arial" w:cs="Arial"/>
          <w:sz w:val="24"/>
          <w:szCs w:val="24"/>
        </w:rPr>
      </w:pPr>
      <w:r w:rsidRPr="00C366B4">
        <w:rPr>
          <w:rFonts w:ascii="Arial" w:hAnsi="Arial" w:cs="Arial"/>
          <w:b/>
          <w:sz w:val="24"/>
          <w:szCs w:val="24"/>
        </w:rPr>
        <w:t xml:space="preserve">Assessing the effect of glyphosate application on soil </w:t>
      </w:r>
      <w:r>
        <w:rPr>
          <w:rFonts w:ascii="Arial" w:hAnsi="Arial" w:cs="Arial"/>
          <w:b/>
          <w:sz w:val="24"/>
          <w:szCs w:val="24"/>
        </w:rPr>
        <w:t>enzymatic activities and microbial communities from</w:t>
      </w:r>
      <w:r w:rsidRPr="00C366B4">
        <w:rPr>
          <w:rFonts w:ascii="Arial" w:hAnsi="Arial" w:cs="Arial"/>
          <w:b/>
          <w:sz w:val="24"/>
          <w:szCs w:val="24"/>
        </w:rPr>
        <w:t xml:space="preserve"> soil in Viljoenskroon, South Africa.</w:t>
      </w:r>
    </w:p>
    <w:p w:rsidR="00804FE7" w:rsidRPr="00804FE7" w:rsidRDefault="00804FE7" w:rsidP="00804FE7">
      <w:pPr>
        <w:rPr>
          <w:rFonts w:ascii="Arial" w:eastAsia="Calibri" w:hAnsi="Arial" w:cs="Arial"/>
          <w:b/>
        </w:rPr>
      </w:pPr>
      <w:r w:rsidRPr="00804FE7">
        <w:rPr>
          <w:rFonts w:ascii="Arial" w:eastAsia="Calibri" w:hAnsi="Arial" w:cs="Arial"/>
        </w:rPr>
        <w:t>Thokozile N.M Yende, PhD Tara A Walmsley, MSc Andrew Beckerling, Mohau Mofojane and</w:t>
      </w:r>
      <w:r w:rsidR="008E6D06">
        <w:rPr>
          <w:rFonts w:ascii="Arial" w:eastAsia="Calibri" w:hAnsi="Arial" w:cs="Arial"/>
          <w:b/>
        </w:rPr>
        <w:t xml:space="preserve"> </w:t>
      </w:r>
      <w:r w:rsidRPr="00804FE7">
        <w:rPr>
          <w:rFonts w:ascii="Arial" w:eastAsia="Calibri" w:hAnsi="Arial" w:cs="Arial"/>
        </w:rPr>
        <w:t>PhD Jasim Basheer</w:t>
      </w:r>
    </w:p>
    <w:p w:rsidR="00804FE7" w:rsidRPr="00804FE7" w:rsidRDefault="00804FE7" w:rsidP="00804FE7">
      <w:pPr>
        <w:rPr>
          <w:rFonts w:ascii="Arial" w:eastAsia="Calibri" w:hAnsi="Arial" w:cs="Arial"/>
        </w:rPr>
      </w:pPr>
      <w:r w:rsidRPr="00804FE7">
        <w:rPr>
          <w:rFonts w:ascii="Arial" w:eastAsia="Calibri" w:hAnsi="Arial" w:cs="Arial"/>
        </w:rPr>
        <w:t>Department of Biotechnology, Vaal University of Technology, South Africa</w:t>
      </w:r>
    </w:p>
    <w:p w:rsidR="00804FE7" w:rsidRDefault="00804FE7" w:rsidP="00804FE7">
      <w:pPr>
        <w:rPr>
          <w:rFonts w:ascii="Arial" w:eastAsia="Calibri" w:hAnsi="Arial" w:cs="Arial"/>
          <w:b/>
          <w:sz w:val="20"/>
          <w:szCs w:val="20"/>
        </w:rPr>
        <w:sectPr w:rsidR="00804FE7">
          <w:pgSz w:w="12240" w:h="15840"/>
          <w:pgMar w:top="1440" w:right="1440" w:bottom="1440" w:left="1440" w:header="720" w:footer="720" w:gutter="0"/>
          <w:cols w:space="720"/>
          <w:docGrid w:linePitch="360"/>
        </w:sectPr>
      </w:pPr>
    </w:p>
    <w:p w:rsidR="00804FE7" w:rsidRPr="00804FE7" w:rsidRDefault="00804FE7" w:rsidP="008E6D06">
      <w:pPr>
        <w:ind w:right="-720"/>
        <w:jc w:val="both"/>
        <w:rPr>
          <w:rFonts w:ascii="Arial" w:eastAsia="Calibri" w:hAnsi="Arial" w:cs="Arial"/>
          <w:b/>
          <w:sz w:val="20"/>
          <w:szCs w:val="20"/>
        </w:rPr>
      </w:pPr>
      <w:r w:rsidRPr="00804FE7">
        <w:rPr>
          <w:rFonts w:ascii="Arial" w:eastAsia="Calibri" w:hAnsi="Arial" w:cs="Arial"/>
          <w:b/>
          <w:sz w:val="20"/>
          <w:szCs w:val="20"/>
        </w:rPr>
        <w:lastRenderedPageBreak/>
        <w:t>Abstract</w:t>
      </w:r>
    </w:p>
    <w:p w:rsidR="00804FE7" w:rsidRPr="008E6D06" w:rsidRDefault="00804FE7" w:rsidP="008E6D06">
      <w:pPr>
        <w:spacing w:before="120" w:after="100" w:afterAutospacing="1"/>
        <w:ind w:left="-576"/>
        <w:jc w:val="both"/>
        <w:rPr>
          <w:rFonts w:ascii="Arial" w:eastAsia="Calibri" w:hAnsi="Arial" w:cs="Arial"/>
          <w:sz w:val="18"/>
          <w:szCs w:val="18"/>
        </w:rPr>
      </w:pPr>
      <w:r w:rsidRPr="00804FE7">
        <w:rPr>
          <w:rFonts w:ascii="Arial" w:eastAsia="Calibri" w:hAnsi="Arial" w:cs="Arial"/>
          <w:sz w:val="18"/>
          <w:szCs w:val="18"/>
        </w:rPr>
        <w:t>Glyphosate (N-(phosphonomethyl) glycine), a non-</w:t>
      </w:r>
      <w:r w:rsidRPr="008E6D06">
        <w:rPr>
          <w:rFonts w:ascii="Arial" w:eastAsia="Calibri" w:hAnsi="Arial" w:cs="Arial"/>
          <w:sz w:val="18"/>
          <w:szCs w:val="18"/>
        </w:rPr>
        <w:t xml:space="preserve"> </w:t>
      </w:r>
      <w:r w:rsidRPr="00804FE7">
        <w:rPr>
          <w:rFonts w:ascii="Arial" w:eastAsia="Calibri" w:hAnsi="Arial" w:cs="Arial"/>
          <w:sz w:val="18"/>
          <w:szCs w:val="18"/>
        </w:rPr>
        <w:t>selective herbicide used to eliminate weeds, is applied extensively throughout the world. However, the excessive use of glyphosate in agriculture has raised concerns due to its accumulation in the soil and its non-targeted toxicity. Glyphosate targets and binds the enzyme EPSPS (5-enolpyruvylshikimate 3-phosphate synthase) to form a very stable complex that permanently deactivates the enzyme to affect the metabolic activity of the plant, which results in its death. However, this pathway is also found in soil microorganisms. The purpose of this study is to assess the effect of glyphosate treatment on soil enzymatic activities and to isolate glyphosate resistant bacteria and characterize these bacteria using molecular techniques. Soil was collected and treated with glyphosate (6 L/ha) three times and once with 120 kg/ha of urea and ammonium nitrate</w:t>
      </w:r>
      <w:r w:rsidR="008E6D06" w:rsidRPr="008E6D06">
        <w:rPr>
          <w:rFonts w:ascii="Arial" w:eastAsia="Calibri" w:hAnsi="Arial" w:cs="Arial"/>
          <w:sz w:val="18"/>
          <w:szCs w:val="18"/>
        </w:rPr>
        <w:t xml:space="preserve"> fertiliz</w:t>
      </w:r>
      <w:r w:rsidRPr="00804FE7">
        <w:rPr>
          <w:rFonts w:ascii="Arial" w:eastAsia="Calibri" w:hAnsi="Arial" w:cs="Arial"/>
          <w:sz w:val="18"/>
          <w:szCs w:val="18"/>
        </w:rPr>
        <w:t xml:space="preserve">ers. Soil was sampled in 24-hour intervals. Dehydrogenase activity was measured spectrophotometrically using TTC as a substrate and urease activity was quantified using an assay kit. Glyphosate resistant bacteria were cultured and purified from agricultural soil in nutrient agar containing different concentrations of glyphosate of 1 g/L, 2 g/L, 5 g/L, 10 g/L and 20 g/L. DNA was then isolated, amplified with 16S rDNA primers and sequenced. Bioinformatics tools were then used to identify these bacteria. Dehydrogenase and urease activity were found to be high on native soil samples that received glyphosate and nitrogen fertilizers, compared to agricultural soil that received the same treatment. </w:t>
      </w:r>
      <w:r w:rsidRPr="00804FE7">
        <w:rPr>
          <w:rFonts w:ascii="Arial" w:eastAsia="Calibri" w:hAnsi="Arial" w:cs="Arial"/>
          <w:i/>
          <w:sz w:val="18"/>
          <w:szCs w:val="18"/>
        </w:rPr>
        <w:t>Bacillus</w:t>
      </w:r>
      <w:r w:rsidRPr="00804FE7">
        <w:rPr>
          <w:rFonts w:ascii="Arial" w:eastAsia="Calibri" w:hAnsi="Arial" w:cs="Arial"/>
          <w:sz w:val="18"/>
          <w:szCs w:val="18"/>
        </w:rPr>
        <w:t xml:space="preserve"> sp., </w:t>
      </w:r>
      <w:r w:rsidRPr="00804FE7">
        <w:rPr>
          <w:rFonts w:ascii="Arial" w:eastAsia="Calibri" w:hAnsi="Arial" w:cs="Arial"/>
          <w:i/>
          <w:sz w:val="18"/>
          <w:szCs w:val="18"/>
        </w:rPr>
        <w:t>Paenibacillus</w:t>
      </w:r>
      <w:r w:rsidRPr="00804FE7">
        <w:rPr>
          <w:rFonts w:ascii="Arial" w:eastAsia="Calibri" w:hAnsi="Arial" w:cs="Arial"/>
          <w:sz w:val="18"/>
          <w:szCs w:val="18"/>
        </w:rPr>
        <w:t xml:space="preserve"> sp., </w:t>
      </w:r>
      <w:r w:rsidRPr="00804FE7">
        <w:rPr>
          <w:rFonts w:ascii="Arial" w:eastAsia="Calibri" w:hAnsi="Arial" w:cs="Arial"/>
          <w:i/>
          <w:sz w:val="18"/>
          <w:szCs w:val="18"/>
        </w:rPr>
        <w:t>Rhodococcus</w:t>
      </w:r>
      <w:r w:rsidRPr="00804FE7">
        <w:rPr>
          <w:rFonts w:ascii="Arial" w:eastAsia="Calibri" w:hAnsi="Arial" w:cs="Arial"/>
          <w:sz w:val="18"/>
          <w:szCs w:val="18"/>
        </w:rPr>
        <w:t xml:space="preserve"> sp., </w:t>
      </w:r>
      <w:r w:rsidRPr="00804FE7">
        <w:rPr>
          <w:rFonts w:ascii="Arial" w:eastAsia="Calibri" w:hAnsi="Arial" w:cs="Arial"/>
          <w:i/>
          <w:sz w:val="18"/>
          <w:szCs w:val="18"/>
        </w:rPr>
        <w:t>Pseudomonas</w:t>
      </w:r>
      <w:r w:rsidRPr="00804FE7">
        <w:rPr>
          <w:rFonts w:ascii="Arial" w:eastAsia="Calibri" w:hAnsi="Arial" w:cs="Arial"/>
          <w:sz w:val="18"/>
          <w:szCs w:val="18"/>
        </w:rPr>
        <w:t xml:space="preserve"> sp., </w:t>
      </w:r>
      <w:r w:rsidRPr="00804FE7">
        <w:rPr>
          <w:rFonts w:ascii="Arial" w:eastAsia="Calibri" w:hAnsi="Arial" w:cs="Arial"/>
          <w:i/>
          <w:sz w:val="18"/>
          <w:szCs w:val="18"/>
        </w:rPr>
        <w:t>Stenotrophomonas</w:t>
      </w:r>
      <w:r w:rsidRPr="00804FE7">
        <w:rPr>
          <w:rFonts w:ascii="Arial" w:eastAsia="Calibri" w:hAnsi="Arial" w:cs="Arial"/>
          <w:sz w:val="18"/>
          <w:szCs w:val="18"/>
        </w:rPr>
        <w:t xml:space="preserve"> sp., </w:t>
      </w:r>
      <w:r w:rsidRPr="00804FE7">
        <w:rPr>
          <w:rFonts w:ascii="Arial" w:eastAsia="Calibri" w:hAnsi="Arial" w:cs="Arial"/>
          <w:i/>
          <w:sz w:val="18"/>
          <w:szCs w:val="18"/>
        </w:rPr>
        <w:t>Enterobacter</w:t>
      </w:r>
      <w:r w:rsidRPr="00804FE7">
        <w:rPr>
          <w:rFonts w:ascii="Arial" w:eastAsia="Calibri" w:hAnsi="Arial" w:cs="Arial"/>
          <w:sz w:val="18"/>
          <w:szCs w:val="18"/>
        </w:rPr>
        <w:t xml:space="preserve"> sp., </w:t>
      </w:r>
      <w:r w:rsidRPr="00804FE7">
        <w:rPr>
          <w:rFonts w:ascii="Arial" w:eastAsia="Calibri" w:hAnsi="Arial" w:cs="Arial"/>
          <w:i/>
          <w:sz w:val="18"/>
          <w:szCs w:val="18"/>
        </w:rPr>
        <w:t>Xanthomonas arboricola</w:t>
      </w:r>
      <w:r w:rsidRPr="00804FE7">
        <w:rPr>
          <w:rFonts w:ascii="Arial" w:eastAsia="Calibri" w:hAnsi="Arial" w:cs="Arial"/>
          <w:sz w:val="18"/>
          <w:szCs w:val="18"/>
        </w:rPr>
        <w:t xml:space="preserve">, </w:t>
      </w:r>
      <w:r w:rsidRPr="00804FE7">
        <w:rPr>
          <w:rFonts w:ascii="Arial" w:eastAsia="Calibri" w:hAnsi="Arial" w:cs="Arial"/>
          <w:i/>
          <w:sz w:val="18"/>
          <w:szCs w:val="18"/>
        </w:rPr>
        <w:t>Pantoaea agglomerans</w:t>
      </w:r>
      <w:r w:rsidRPr="00804FE7">
        <w:rPr>
          <w:rFonts w:ascii="Arial" w:eastAsia="Calibri" w:hAnsi="Arial" w:cs="Arial"/>
          <w:sz w:val="18"/>
          <w:szCs w:val="18"/>
        </w:rPr>
        <w:t xml:space="preserve">, </w:t>
      </w:r>
      <w:r w:rsidRPr="00804FE7">
        <w:rPr>
          <w:rFonts w:ascii="Arial" w:eastAsia="Calibri" w:hAnsi="Arial" w:cs="Arial"/>
          <w:i/>
          <w:sz w:val="18"/>
          <w:szCs w:val="18"/>
        </w:rPr>
        <w:t>Klebsiella pneumoniae</w:t>
      </w:r>
      <w:r w:rsidRPr="00804FE7">
        <w:rPr>
          <w:rFonts w:ascii="Arial" w:eastAsia="Calibri" w:hAnsi="Arial" w:cs="Arial"/>
          <w:sz w:val="18"/>
          <w:szCs w:val="18"/>
        </w:rPr>
        <w:t xml:space="preserve"> and </w:t>
      </w:r>
      <w:r w:rsidRPr="00804FE7">
        <w:rPr>
          <w:rFonts w:ascii="Arial" w:eastAsia="Calibri" w:hAnsi="Arial" w:cs="Arial"/>
          <w:i/>
          <w:sz w:val="18"/>
          <w:szCs w:val="18"/>
        </w:rPr>
        <w:t>Bordetella avium</w:t>
      </w:r>
      <w:r w:rsidRPr="00804FE7">
        <w:rPr>
          <w:rFonts w:ascii="Arial" w:eastAsia="Calibri" w:hAnsi="Arial" w:cs="Arial"/>
          <w:sz w:val="18"/>
          <w:szCs w:val="18"/>
        </w:rPr>
        <w:t xml:space="preserve"> bacteria were found</w:t>
      </w:r>
      <w:r w:rsidR="008E6D06">
        <w:rPr>
          <w:rFonts w:ascii="Arial" w:eastAsia="Calibri" w:hAnsi="Arial" w:cs="Arial"/>
          <w:sz w:val="18"/>
          <w:szCs w:val="18"/>
        </w:rPr>
        <w:t xml:space="preserve"> to be </w:t>
      </w:r>
      <w:r w:rsidRPr="00804FE7">
        <w:rPr>
          <w:rFonts w:ascii="Arial" w:eastAsia="Calibri" w:hAnsi="Arial" w:cs="Arial"/>
          <w:sz w:val="18"/>
          <w:szCs w:val="18"/>
        </w:rPr>
        <w:t>resistant to glyphosate. This study shows that the measurement of changes in enzyme activities provide useful guide of changes in soil quality and increase knowledge of glyphosate resistant bacteria.</w:t>
      </w:r>
    </w:p>
    <w:p w:rsidR="00327405" w:rsidRPr="008E6D06" w:rsidRDefault="00327405" w:rsidP="008E6D06">
      <w:pPr>
        <w:pBdr>
          <w:bar w:val="single" w:sz="4" w:color="auto"/>
        </w:pBdr>
        <w:ind w:right="-720"/>
        <w:jc w:val="both"/>
        <w:rPr>
          <w:rFonts w:ascii="Arial" w:eastAsia="Calibri" w:hAnsi="Arial" w:cs="Arial"/>
          <w:b/>
          <w:sz w:val="18"/>
          <w:szCs w:val="18"/>
        </w:rPr>
      </w:pPr>
      <w:r w:rsidRPr="008E6D06">
        <w:rPr>
          <w:rFonts w:ascii="Arial" w:eastAsia="Calibri" w:hAnsi="Arial" w:cs="Arial"/>
          <w:b/>
          <w:sz w:val="18"/>
          <w:szCs w:val="18"/>
        </w:rPr>
        <w:lastRenderedPageBreak/>
        <w:t>Recent publications</w:t>
      </w:r>
    </w:p>
    <w:p w:rsidR="00327405" w:rsidRPr="008E6D06" w:rsidRDefault="00327405" w:rsidP="008E6D06">
      <w:pPr>
        <w:pBdr>
          <w:bar w:val="single" w:sz="4" w:color="auto"/>
        </w:pBdr>
        <w:ind w:right="-720"/>
        <w:jc w:val="both"/>
        <w:rPr>
          <w:rFonts w:ascii="Arial" w:eastAsia="Calibri" w:hAnsi="Arial" w:cs="Arial"/>
          <w:sz w:val="18"/>
          <w:szCs w:val="18"/>
        </w:rPr>
      </w:pPr>
      <w:r w:rsidRPr="008E6D06">
        <w:rPr>
          <w:rFonts w:ascii="Arial" w:eastAsia="Calibri" w:hAnsi="Arial" w:cs="Arial"/>
          <w:sz w:val="18"/>
          <w:szCs w:val="18"/>
        </w:rPr>
        <w:fldChar w:fldCharType="begin" w:fldLock="1"/>
      </w:r>
      <w:r w:rsidRPr="008E6D06">
        <w:rPr>
          <w:rFonts w:ascii="Arial" w:eastAsia="Calibri" w:hAnsi="Arial" w:cs="Arial"/>
          <w:sz w:val="18"/>
          <w:szCs w:val="18"/>
        </w:rPr>
        <w:instrText xml:space="preserve">ADDIN Mendeley Bibliography CSL_BIBLIOGRAPHY </w:instrText>
      </w:r>
      <w:r w:rsidRPr="008E6D06">
        <w:rPr>
          <w:rFonts w:ascii="Arial" w:eastAsia="Calibri" w:hAnsi="Arial" w:cs="Arial"/>
          <w:sz w:val="18"/>
          <w:szCs w:val="18"/>
        </w:rPr>
        <w:fldChar w:fldCharType="separate"/>
      </w:r>
      <w:r w:rsidRPr="008E6D06">
        <w:rPr>
          <w:rFonts w:ascii="Arial" w:eastAsia="Calibri" w:hAnsi="Arial" w:cs="Arial"/>
          <w:sz w:val="18"/>
          <w:szCs w:val="18"/>
        </w:rPr>
        <w:t xml:space="preserve">1. </w:t>
      </w:r>
      <w:r w:rsidRPr="008E6D06">
        <w:rPr>
          <w:rFonts w:ascii="Arial" w:eastAsia="Calibri" w:hAnsi="Arial" w:cs="Arial"/>
          <w:sz w:val="18"/>
          <w:szCs w:val="18"/>
        </w:rPr>
        <w:tab/>
        <w:t xml:space="preserve">Kryuchkova, Yelena V et al. 2014. “Isolation and Characterization of a Glyphosate-Degrading Rhizosphere </w:t>
      </w:r>
      <w:r w:rsidR="008E6D06" w:rsidRPr="008E6D06">
        <w:rPr>
          <w:rFonts w:ascii="Arial" w:eastAsia="Calibri" w:hAnsi="Arial" w:cs="Arial"/>
          <w:sz w:val="18"/>
          <w:szCs w:val="18"/>
        </w:rPr>
        <w:t>Strain,</w:t>
      </w:r>
      <w:r w:rsidRPr="008E6D06">
        <w:rPr>
          <w:rFonts w:ascii="Arial" w:eastAsia="Calibri" w:hAnsi="Arial" w:cs="Arial"/>
          <w:sz w:val="18"/>
          <w:szCs w:val="18"/>
        </w:rPr>
        <w:t xml:space="preserve"> Enterobacter Cloacae K7 </w:t>
      </w:r>
      <w:r w:rsidRPr="008E6D06">
        <w:rPr>
          <w:rFonts w:ascii="Kalinga" w:eastAsia="Calibri" w:hAnsi="Kalinga" w:cs="Kalinga"/>
          <w:sz w:val="18"/>
          <w:szCs w:val="18"/>
        </w:rPr>
        <w:t>ଝ</w:t>
      </w:r>
      <w:r w:rsidRPr="008E6D06">
        <w:rPr>
          <w:rFonts w:ascii="Arial" w:eastAsia="Calibri" w:hAnsi="Arial" w:cs="Arial"/>
          <w:sz w:val="18"/>
          <w:szCs w:val="18"/>
        </w:rPr>
        <w:t xml:space="preserve">.” </w:t>
      </w:r>
      <w:r w:rsidRPr="008E6D06">
        <w:rPr>
          <w:rFonts w:ascii="Arial" w:eastAsia="Calibri" w:hAnsi="Arial" w:cs="Arial"/>
          <w:i/>
          <w:iCs/>
          <w:sz w:val="18"/>
          <w:szCs w:val="18"/>
        </w:rPr>
        <w:t>Microbiological Research</w:t>
      </w:r>
      <w:r w:rsidRPr="008E6D06">
        <w:rPr>
          <w:rFonts w:ascii="Arial" w:eastAsia="Calibri" w:hAnsi="Arial" w:cs="Arial"/>
          <w:sz w:val="18"/>
          <w:szCs w:val="18"/>
        </w:rPr>
        <w:t xml:space="preserve"> 169(1):99–105. </w:t>
      </w:r>
    </w:p>
    <w:p w:rsidR="00327405" w:rsidRPr="008E6D06" w:rsidRDefault="00327405" w:rsidP="008E6D06">
      <w:pPr>
        <w:pBdr>
          <w:bar w:val="single" w:sz="4" w:color="auto"/>
        </w:pBdr>
        <w:ind w:right="-720"/>
        <w:jc w:val="both"/>
        <w:rPr>
          <w:rFonts w:ascii="Arial" w:eastAsia="Calibri" w:hAnsi="Arial" w:cs="Arial"/>
          <w:sz w:val="18"/>
          <w:szCs w:val="18"/>
        </w:rPr>
      </w:pPr>
      <w:r w:rsidRPr="008E6D06">
        <w:rPr>
          <w:rFonts w:ascii="Arial" w:eastAsia="Calibri" w:hAnsi="Arial" w:cs="Arial"/>
          <w:sz w:val="18"/>
          <w:szCs w:val="18"/>
        </w:rPr>
        <w:t>2. Kumar, S., S. Chaudhuri, and S. K. Maiti. 2013. “Soil Dehydrogenase Enzyme Activity in Natural and Mine Soil - A Review Department of Environmental Science &amp; Engineering / Centre for Mining Environment , Department of Mining Engineering , Indian School of Mines ; Dhanbad -826004 India.” 13(7):898–906.</w:t>
      </w:r>
    </w:p>
    <w:p w:rsidR="00327405" w:rsidRPr="008E6D06" w:rsidRDefault="00327405" w:rsidP="008E6D06">
      <w:pPr>
        <w:pBdr>
          <w:bar w:val="single" w:sz="4" w:color="auto"/>
        </w:pBdr>
        <w:ind w:right="-720"/>
        <w:jc w:val="both"/>
        <w:rPr>
          <w:rFonts w:ascii="Arial" w:eastAsia="Calibri" w:hAnsi="Arial" w:cs="Arial"/>
          <w:sz w:val="18"/>
          <w:szCs w:val="18"/>
        </w:rPr>
      </w:pPr>
      <w:r w:rsidRPr="008E6D06">
        <w:rPr>
          <w:rFonts w:ascii="Arial" w:eastAsia="Calibri" w:hAnsi="Arial" w:cs="Arial"/>
          <w:sz w:val="18"/>
          <w:szCs w:val="18"/>
        </w:rPr>
        <w:t>3. Benslama O, Boulahrouf A. 2013. Impact of glyphosate application on the microbial activity of two Algerian soils. Int. J. Curr. Microbiol. App. Sci, vol. 2, issue 12, pp. 628-635</w:t>
      </w:r>
    </w:p>
    <w:p w:rsidR="00327405" w:rsidRPr="008E6D06" w:rsidRDefault="00327405" w:rsidP="008E6D06">
      <w:pPr>
        <w:pBdr>
          <w:bar w:val="single" w:sz="4" w:color="auto"/>
        </w:pBdr>
        <w:ind w:right="-720"/>
        <w:jc w:val="both"/>
        <w:rPr>
          <w:rFonts w:ascii="Arial" w:eastAsia="Calibri" w:hAnsi="Arial" w:cs="Arial"/>
          <w:sz w:val="18"/>
          <w:szCs w:val="18"/>
        </w:rPr>
      </w:pPr>
    </w:p>
    <w:p w:rsidR="00327405" w:rsidRPr="008E6D06" w:rsidRDefault="00327405" w:rsidP="008E6D06">
      <w:pPr>
        <w:pBdr>
          <w:bar w:val="single" w:sz="4" w:color="auto"/>
        </w:pBdr>
        <w:ind w:right="-720"/>
        <w:jc w:val="both"/>
        <w:rPr>
          <w:rFonts w:ascii="Arial" w:eastAsia="Calibri" w:hAnsi="Arial" w:cs="Arial"/>
          <w:sz w:val="18"/>
          <w:szCs w:val="18"/>
        </w:rPr>
      </w:pPr>
      <w:r w:rsidRPr="008E6D06">
        <w:rPr>
          <w:rFonts w:ascii="Arial" w:eastAsia="Calibri" w:hAnsi="Arial" w:cs="Arial"/>
          <w:sz w:val="18"/>
          <w:szCs w:val="18"/>
        </w:rPr>
        <w:t xml:space="preserve">4. Lane, Matthew, Nicola Lorenz, Jyotisna Saxena, Cliff Ramsier, and Richard P. Dick. 2012. “The Effect of Glyphosate on Soil Microbial Activity, Microbial Community Structure, and Soil Potassium.” </w:t>
      </w:r>
      <w:r w:rsidRPr="008E6D06">
        <w:rPr>
          <w:rFonts w:ascii="Arial" w:eastAsia="Calibri" w:hAnsi="Arial" w:cs="Arial"/>
          <w:i/>
          <w:iCs/>
          <w:sz w:val="18"/>
          <w:szCs w:val="18"/>
        </w:rPr>
        <w:t>Pedobiologia</w:t>
      </w:r>
      <w:r w:rsidRPr="008E6D06">
        <w:rPr>
          <w:rFonts w:ascii="Arial" w:eastAsia="Calibri" w:hAnsi="Arial" w:cs="Arial"/>
          <w:sz w:val="18"/>
          <w:szCs w:val="18"/>
        </w:rPr>
        <w:t xml:space="preserve"> 55(6):335–42.</w:t>
      </w:r>
    </w:p>
    <w:p w:rsidR="00064E0B" w:rsidRPr="008E6D06" w:rsidRDefault="00327405" w:rsidP="008E6D06">
      <w:pPr>
        <w:pBdr>
          <w:bar w:val="single" w:sz="4" w:color="auto"/>
        </w:pBdr>
        <w:ind w:right="-720"/>
        <w:jc w:val="both"/>
        <w:rPr>
          <w:rFonts w:ascii="Arial" w:eastAsia="Calibri" w:hAnsi="Arial" w:cs="Arial"/>
          <w:sz w:val="18"/>
          <w:szCs w:val="18"/>
        </w:rPr>
      </w:pPr>
      <w:r w:rsidRPr="008E6D06">
        <w:rPr>
          <w:rFonts w:ascii="Arial" w:eastAsia="Calibri" w:hAnsi="Arial" w:cs="Arial"/>
          <w:sz w:val="18"/>
          <w:szCs w:val="18"/>
        </w:rPr>
        <w:t>5. Araújo A, Monteiro R, Abarkeli R. 2003"Effect of glyphosate on the microbial activity of two Brazilian soils"Chemosphere, vol. 52, issue 5, pp. 799-804</w:t>
      </w:r>
    </w:p>
    <w:p w:rsidR="00327405" w:rsidRDefault="00327405" w:rsidP="008E6D06">
      <w:pPr>
        <w:pBdr>
          <w:bar w:val="single" w:sz="4" w:color="auto"/>
        </w:pBdr>
        <w:ind w:right="-720"/>
        <w:jc w:val="both"/>
        <w:rPr>
          <w:rFonts w:ascii="Arial" w:eastAsia="Calibri" w:hAnsi="Arial" w:cs="Arial"/>
          <w:sz w:val="18"/>
          <w:szCs w:val="18"/>
        </w:rPr>
      </w:pPr>
    </w:p>
    <w:p w:rsidR="00064E0B" w:rsidRDefault="00064E0B" w:rsidP="008E6D06">
      <w:pPr>
        <w:pBdr>
          <w:bar w:val="single" w:sz="4" w:color="auto"/>
        </w:pBdr>
        <w:ind w:right="-720"/>
        <w:jc w:val="both"/>
        <w:rPr>
          <w:rFonts w:ascii="Arial" w:eastAsia="Calibri" w:hAnsi="Arial" w:cs="Arial"/>
          <w:sz w:val="18"/>
          <w:szCs w:val="18"/>
        </w:rPr>
      </w:pPr>
    </w:p>
    <w:p w:rsidR="00064E0B" w:rsidRPr="008E6D06" w:rsidRDefault="00064E0B" w:rsidP="008E6D06">
      <w:pPr>
        <w:pBdr>
          <w:bar w:val="single" w:sz="4" w:color="auto"/>
        </w:pBdr>
        <w:ind w:right="-720"/>
        <w:jc w:val="both"/>
        <w:rPr>
          <w:rFonts w:ascii="Arial" w:eastAsia="Calibri" w:hAnsi="Arial" w:cs="Arial"/>
          <w:sz w:val="18"/>
          <w:szCs w:val="18"/>
        </w:rPr>
      </w:pPr>
    </w:p>
    <w:p w:rsidR="00327405" w:rsidRDefault="00327405" w:rsidP="008E6D06">
      <w:pPr>
        <w:pBdr>
          <w:bar w:val="single" w:sz="4" w:color="auto"/>
        </w:pBdr>
        <w:ind w:right="-720"/>
        <w:jc w:val="both"/>
        <w:rPr>
          <w:rFonts w:ascii="Calibri" w:eastAsia="Calibri" w:hAnsi="Calibri" w:cs="Times New Roman"/>
        </w:rPr>
      </w:pPr>
      <w:r w:rsidRPr="008E6D06">
        <w:rPr>
          <w:rFonts w:ascii="Arial" w:eastAsia="Calibri" w:hAnsi="Arial" w:cs="Arial"/>
          <w:sz w:val="18"/>
          <w:szCs w:val="18"/>
        </w:rPr>
        <w:fldChar w:fldCharType="end"/>
      </w:r>
    </w:p>
    <w:p w:rsidR="00327405" w:rsidRDefault="00327405" w:rsidP="00804FE7">
      <w:pPr>
        <w:pBdr>
          <w:bar w:val="single" w:sz="4" w:color="auto"/>
        </w:pBdr>
        <w:ind w:left="-288"/>
        <w:jc w:val="both"/>
        <w:rPr>
          <w:rFonts w:ascii="Calibri" w:eastAsia="Calibri" w:hAnsi="Calibri" w:cs="Times New Roman"/>
        </w:rPr>
      </w:pPr>
    </w:p>
    <w:p w:rsidR="00064E0B" w:rsidRDefault="00064E0B" w:rsidP="00804FE7">
      <w:pPr>
        <w:pBdr>
          <w:bar w:val="single" w:sz="4" w:color="auto"/>
        </w:pBdr>
        <w:ind w:left="-288"/>
        <w:jc w:val="both"/>
        <w:rPr>
          <w:rFonts w:ascii="Calibri" w:eastAsia="Calibri" w:hAnsi="Calibri" w:cs="Times New Roman"/>
        </w:rPr>
      </w:pPr>
    </w:p>
    <w:p w:rsidR="007242D9" w:rsidRDefault="007242D9" w:rsidP="00804FE7">
      <w:pPr>
        <w:pBdr>
          <w:bar w:val="single" w:sz="4" w:color="auto"/>
        </w:pBdr>
        <w:ind w:left="-288"/>
        <w:jc w:val="both"/>
        <w:rPr>
          <w:rFonts w:ascii="Calibri" w:eastAsia="Calibri" w:hAnsi="Calibri" w:cs="Times New Roman"/>
        </w:rPr>
        <w:sectPr w:rsidR="007242D9" w:rsidSect="00804FE7">
          <w:type w:val="continuous"/>
          <w:pgSz w:w="12240" w:h="15840"/>
          <w:pgMar w:top="1440" w:right="1440" w:bottom="1440" w:left="1440" w:header="720" w:footer="720" w:gutter="0"/>
          <w:cols w:num="2" w:space="720"/>
          <w:docGrid w:linePitch="360"/>
        </w:sectPr>
      </w:pPr>
    </w:p>
    <w:tbl>
      <w:tblPr>
        <w:tblStyle w:val="TableGrid"/>
        <w:tblW w:w="9839" w:type="dxa"/>
        <w:tblInd w:w="355" w:type="dxa"/>
        <w:tblLayout w:type="fixed"/>
        <w:tblLook w:val="04A0" w:firstRow="1" w:lastRow="0" w:firstColumn="1" w:lastColumn="0" w:noHBand="0" w:noVBand="1"/>
      </w:tblPr>
      <w:tblGrid>
        <w:gridCol w:w="4910"/>
        <w:gridCol w:w="4929"/>
      </w:tblGrid>
      <w:tr w:rsidR="008E6D06" w:rsidTr="00064E0B">
        <w:trPr>
          <w:trHeight w:val="2296"/>
        </w:trPr>
        <w:tc>
          <w:tcPr>
            <w:tcW w:w="4910" w:type="dxa"/>
          </w:tcPr>
          <w:p w:rsidR="007242D9" w:rsidRDefault="007242D9" w:rsidP="00804FE7">
            <w:pPr>
              <w:jc w:val="both"/>
              <w:rPr>
                <w:rFonts w:ascii="Calibri" w:eastAsia="Calibri" w:hAnsi="Calibri" w:cs="Times New Roman"/>
              </w:rPr>
            </w:pPr>
            <w:r>
              <w:rPr>
                <w:rFonts w:ascii="Calibri" w:eastAsia="Calibri" w:hAnsi="Calibri" w:cs="Times New Roman"/>
              </w:rPr>
              <w:lastRenderedPageBreak/>
              <w:t>(a)</w:t>
            </w:r>
            <w:r>
              <w:rPr>
                <w:rFonts w:ascii="Calibri" w:eastAsia="Calibri" w:hAnsi="Calibri" w:cs="Times New Roman"/>
                <w:noProof/>
                <w:lang w:val="en-US"/>
              </w:rPr>
              <w:drawing>
                <wp:inline distT="0" distB="0" distL="0" distR="0" wp14:anchorId="57A9F560" wp14:editId="2E3757DE">
                  <wp:extent cx="3190875" cy="201168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0875" cy="2011680"/>
                          </a:xfrm>
                          <a:prstGeom prst="rect">
                            <a:avLst/>
                          </a:prstGeom>
                          <a:noFill/>
                        </pic:spPr>
                      </pic:pic>
                    </a:graphicData>
                  </a:graphic>
                </wp:inline>
              </w:drawing>
            </w:r>
          </w:p>
        </w:tc>
        <w:tc>
          <w:tcPr>
            <w:tcW w:w="4929" w:type="dxa"/>
          </w:tcPr>
          <w:p w:rsidR="007242D9" w:rsidRDefault="007242D9" w:rsidP="00804FE7">
            <w:pPr>
              <w:jc w:val="both"/>
              <w:rPr>
                <w:rFonts w:ascii="Calibri" w:eastAsia="Calibri" w:hAnsi="Calibri" w:cs="Times New Roman"/>
              </w:rPr>
            </w:pPr>
            <w:r>
              <w:rPr>
                <w:rFonts w:ascii="Calibri" w:eastAsia="Calibri" w:hAnsi="Calibri" w:cs="Times New Roman"/>
                <w:noProof/>
                <w:lang w:val="en-US"/>
              </w:rPr>
              <w:t>(b)</w:t>
            </w:r>
            <w:r>
              <w:rPr>
                <w:rFonts w:ascii="Calibri" w:eastAsia="Calibri" w:hAnsi="Calibri" w:cs="Times New Roman"/>
                <w:noProof/>
                <w:lang w:val="en-US"/>
              </w:rPr>
              <w:drawing>
                <wp:inline distT="0" distB="0" distL="0" distR="0" wp14:anchorId="1C329A05" wp14:editId="5C4B7866">
                  <wp:extent cx="3212465" cy="198120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2465" cy="1981200"/>
                          </a:xfrm>
                          <a:prstGeom prst="rect">
                            <a:avLst/>
                          </a:prstGeom>
                          <a:noFill/>
                        </pic:spPr>
                      </pic:pic>
                    </a:graphicData>
                  </a:graphic>
                </wp:inline>
              </w:drawing>
            </w:r>
          </w:p>
        </w:tc>
      </w:tr>
      <w:tr w:rsidR="007242D9" w:rsidTr="00064E0B">
        <w:trPr>
          <w:trHeight w:val="4108"/>
        </w:trPr>
        <w:tc>
          <w:tcPr>
            <w:tcW w:w="9839" w:type="dxa"/>
            <w:gridSpan w:val="2"/>
          </w:tcPr>
          <w:p w:rsidR="007242D9" w:rsidRDefault="007242D9" w:rsidP="00804FE7">
            <w:pPr>
              <w:jc w:val="both"/>
              <w:rPr>
                <w:rFonts w:ascii="Calibri" w:eastAsia="Calibri" w:hAnsi="Calibri" w:cs="Times New Roman"/>
                <w:noProof/>
                <w:lang w:val="en-US"/>
              </w:rPr>
            </w:pPr>
            <w:r>
              <w:rPr>
                <w:rFonts w:ascii="Calibri" w:eastAsia="Calibri" w:hAnsi="Calibri" w:cs="Times New Roman"/>
                <w:noProof/>
                <w:lang w:val="en-US"/>
              </w:rPr>
              <w:t>(c)</w:t>
            </w:r>
            <w:r>
              <w:rPr>
                <w:rFonts w:ascii="Calibri" w:eastAsia="Calibri" w:hAnsi="Calibri" w:cs="Times New Roman"/>
                <w:noProof/>
                <w:lang w:val="en-US"/>
              </w:rPr>
              <w:drawing>
                <wp:inline distT="0" distB="0" distL="0" distR="0" wp14:anchorId="5656BEF0" wp14:editId="58E7EDE1">
                  <wp:extent cx="4933950" cy="3038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b="-313"/>
                          <a:stretch/>
                        </pic:blipFill>
                        <pic:spPr bwMode="auto">
                          <a:xfrm>
                            <a:off x="0" y="0"/>
                            <a:ext cx="4933950" cy="30384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E6D06" w:rsidRPr="00064E0B" w:rsidRDefault="00804FE7" w:rsidP="008E6D06">
      <w:pPr>
        <w:jc w:val="both"/>
        <w:rPr>
          <w:rFonts w:ascii="Arial" w:eastAsia="Calibri" w:hAnsi="Arial" w:cs="Arial"/>
          <w:sz w:val="18"/>
          <w:szCs w:val="18"/>
        </w:rPr>
      </w:pPr>
      <w:r w:rsidRPr="00804FE7">
        <w:rPr>
          <w:rFonts w:ascii="Arial" w:eastAsia="Calibri" w:hAnsi="Arial" w:cs="Arial"/>
          <w:sz w:val="18"/>
          <w:szCs w:val="18"/>
        </w:rPr>
        <w:t>Figure 1: (a) Mean values of dehydrogenase activity measured after hours of sampling soil over a period of seven days after glyphosate application. (b) Mean values of urease activity measured after hours of sampling soil over a period of seven days after urea application. (c) Phyl</w:t>
      </w:r>
      <w:r w:rsidR="007242D9" w:rsidRPr="004E22C1">
        <w:rPr>
          <w:rFonts w:ascii="Arial" w:eastAsia="Calibri" w:hAnsi="Arial" w:cs="Arial"/>
          <w:sz w:val="18"/>
          <w:szCs w:val="18"/>
        </w:rPr>
        <w:t xml:space="preserve">ogenetic relationships built on </w:t>
      </w:r>
      <w:r w:rsidRPr="00804FE7">
        <w:rPr>
          <w:rFonts w:ascii="Arial" w:eastAsia="Calibri" w:hAnsi="Arial" w:cs="Arial"/>
          <w:sz w:val="18"/>
          <w:szCs w:val="18"/>
        </w:rPr>
        <w:t>sequences of 16S rDNA amplicons derived glyphosate-resistant bacterial isolate.</w:t>
      </w:r>
      <w:r w:rsidR="007242D9" w:rsidRPr="004E22C1">
        <w:rPr>
          <w:rFonts w:ascii="Arial" w:hAnsi="Arial" w:cs="Arial"/>
          <w:noProof/>
          <w:sz w:val="18"/>
          <w:szCs w:val="18"/>
          <w:lang w:val="en-US"/>
        </w:rPr>
        <w:t xml:space="preserve"> </w:t>
      </w:r>
    </w:p>
    <w:tbl>
      <w:tblPr>
        <w:tblStyle w:val="ListTable1Light-Accent4"/>
        <w:tblW w:w="9223" w:type="dxa"/>
        <w:tblLook w:val="04A0" w:firstRow="1" w:lastRow="0" w:firstColumn="1" w:lastColumn="0" w:noHBand="0" w:noVBand="1"/>
      </w:tblPr>
      <w:tblGrid>
        <w:gridCol w:w="2196"/>
        <w:gridCol w:w="7027"/>
      </w:tblGrid>
      <w:tr w:rsidR="008E6D06" w:rsidTr="00064E0B">
        <w:trPr>
          <w:cnfStyle w:val="100000000000" w:firstRow="1" w:lastRow="0" w:firstColumn="0" w:lastColumn="0" w:oddVBand="0" w:evenVBand="0" w:oddHBand="0" w:evenHBand="0" w:firstRowFirstColumn="0" w:firstRowLastColumn="0" w:lastRowFirstColumn="0" w:lastRowLastColumn="0"/>
          <w:trHeight w:val="2354"/>
        </w:trPr>
        <w:tc>
          <w:tcPr>
            <w:cnfStyle w:val="001000000000" w:firstRow="0" w:lastRow="0" w:firstColumn="1" w:lastColumn="0" w:oddVBand="0" w:evenVBand="0" w:oddHBand="0" w:evenHBand="0" w:firstRowFirstColumn="0" w:firstRowLastColumn="0" w:lastRowFirstColumn="0" w:lastRowLastColumn="0"/>
            <w:tcW w:w="2163" w:type="dxa"/>
          </w:tcPr>
          <w:p w:rsidR="008E6D06" w:rsidRDefault="008E6D06" w:rsidP="008E6D06">
            <w:pPr>
              <w:jc w:val="both"/>
              <w:rPr>
                <w:rFonts w:ascii="Arial" w:eastAsia="Calibri" w:hAnsi="Arial" w:cs="Arial"/>
                <w:sz w:val="20"/>
                <w:szCs w:val="20"/>
              </w:rPr>
            </w:pPr>
            <w:r w:rsidRPr="008E6D06">
              <w:rPr>
                <w:rFonts w:ascii="Arial" w:eastAsia="Calibri" w:hAnsi="Arial" w:cs="Arial"/>
                <w:noProof/>
                <w:sz w:val="20"/>
                <w:szCs w:val="20"/>
                <w:lang w:val="en-US"/>
              </w:rPr>
              <w:drawing>
                <wp:inline distT="0" distB="0" distL="0" distR="0" wp14:anchorId="77DBBFF7" wp14:editId="44606356">
                  <wp:extent cx="1257300" cy="1581150"/>
                  <wp:effectExtent l="0" t="0" r="0" b="0"/>
                  <wp:docPr id="14" name="Picture 14" descr="C:\Users\nozip\AppData\Local\Microsoft\Windows\INetCache\Content.Word\IMG_20161017_14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zip\AppData\Local\Microsoft\Windows\INetCache\Content.Word\IMG_20161017_14003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842" t="3802" r="9868" b="10376"/>
                          <a:stretch/>
                        </pic:blipFill>
                        <pic:spPr bwMode="auto">
                          <a:xfrm>
                            <a:off x="0" y="0"/>
                            <a:ext cx="1272044" cy="15996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60" w:type="dxa"/>
          </w:tcPr>
          <w:p w:rsidR="004E22C1" w:rsidRDefault="004E22C1" w:rsidP="004E22C1">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p>
          <w:p w:rsidR="004E22C1" w:rsidRDefault="004E22C1" w:rsidP="004E22C1">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p>
          <w:p w:rsidR="004E22C1" w:rsidRPr="008E6D06" w:rsidRDefault="004E22C1" w:rsidP="004E22C1">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r w:rsidRPr="008E6D06">
              <w:rPr>
                <w:rFonts w:ascii="Arial" w:eastAsia="Calibri" w:hAnsi="Arial" w:cs="Arial"/>
                <w:sz w:val="20"/>
                <w:szCs w:val="20"/>
              </w:rPr>
              <w:t>Thokozile Yende is a Masters’ student in the Department of Biotechnology, Vaal University of Technology, and zealous about the field of environmental and agricultural studies. Her project is about evaluating the</w:t>
            </w:r>
            <w:r w:rsidRPr="004E22C1">
              <w:rPr>
                <w:rFonts w:ascii="Arial" w:eastAsia="Calibri" w:hAnsi="Arial" w:cs="Arial"/>
                <w:sz w:val="20"/>
                <w:szCs w:val="20"/>
              </w:rPr>
              <w:t xml:space="preserve"> </w:t>
            </w:r>
            <w:r w:rsidRPr="008E6D06">
              <w:rPr>
                <w:rFonts w:ascii="Arial" w:eastAsia="Calibri" w:hAnsi="Arial" w:cs="Arial"/>
                <w:sz w:val="20"/>
                <w:szCs w:val="20"/>
              </w:rPr>
              <w:t>effect of glyphosate on soil microbial communities and the consequent effect it has on the top</w:t>
            </w:r>
            <w:r w:rsidRPr="004E22C1">
              <w:rPr>
                <w:rFonts w:ascii="Arial" w:eastAsia="Calibri" w:hAnsi="Arial" w:cs="Arial"/>
                <w:sz w:val="20"/>
                <w:szCs w:val="20"/>
              </w:rPr>
              <w:t>ically applied nitrogen fertiliz</w:t>
            </w:r>
            <w:r w:rsidRPr="008E6D06">
              <w:rPr>
                <w:rFonts w:ascii="Arial" w:eastAsia="Calibri" w:hAnsi="Arial" w:cs="Arial"/>
                <w:sz w:val="20"/>
                <w:szCs w:val="20"/>
              </w:rPr>
              <w:t xml:space="preserve">ers.  </w:t>
            </w:r>
          </w:p>
          <w:p w:rsidR="004E22C1" w:rsidRPr="004E22C1" w:rsidRDefault="004E22C1" w:rsidP="004E22C1">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p>
          <w:p w:rsidR="004E22C1" w:rsidRPr="008E6D06" w:rsidRDefault="004E22C1" w:rsidP="004E22C1">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r w:rsidRPr="008E6D06">
              <w:rPr>
                <w:rFonts w:ascii="Arial" w:eastAsia="Calibri" w:hAnsi="Arial" w:cs="Arial"/>
                <w:sz w:val="20"/>
                <w:szCs w:val="20"/>
              </w:rPr>
              <w:t xml:space="preserve">Email: </w:t>
            </w:r>
            <w:hyperlink r:id="rId11" w:history="1">
              <w:r w:rsidRPr="004E22C1">
                <w:rPr>
                  <w:rFonts w:ascii="Arial" w:eastAsia="Calibri" w:hAnsi="Arial" w:cs="Arial"/>
                  <w:color w:val="0563C1"/>
                  <w:sz w:val="20"/>
                  <w:szCs w:val="20"/>
                  <w:u w:val="single"/>
                </w:rPr>
                <w:t>yendetnm@gmail.com</w:t>
              </w:r>
            </w:hyperlink>
            <w:r w:rsidRPr="008E6D06">
              <w:rPr>
                <w:rFonts w:ascii="Arial" w:eastAsia="Calibri" w:hAnsi="Arial" w:cs="Arial"/>
                <w:sz w:val="20"/>
                <w:szCs w:val="20"/>
              </w:rPr>
              <w:t xml:space="preserve"> </w:t>
            </w:r>
            <w:r w:rsidRPr="008E6D06">
              <w:rPr>
                <w:rFonts w:ascii="Arial" w:eastAsia="Calibri" w:hAnsi="Arial" w:cs="Arial"/>
                <w:sz w:val="20"/>
                <w:szCs w:val="20"/>
              </w:rPr>
              <w:tab/>
              <w:t>Contact number: +27 734624756</w:t>
            </w:r>
          </w:p>
          <w:p w:rsidR="008E6D06" w:rsidRDefault="008E6D06" w:rsidP="008E6D06">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p>
        </w:tc>
      </w:tr>
    </w:tbl>
    <w:p w:rsidR="007242D9" w:rsidRPr="00064E0B" w:rsidRDefault="007242D9" w:rsidP="00064E0B">
      <w:pPr>
        <w:rPr>
          <w:rFonts w:ascii="Arial" w:eastAsia="Calibri" w:hAnsi="Arial" w:cs="Arial"/>
          <w:sz w:val="20"/>
          <w:szCs w:val="20"/>
        </w:rPr>
        <w:sectPr w:rsidR="007242D9" w:rsidRPr="00064E0B" w:rsidSect="007242D9">
          <w:type w:val="continuous"/>
          <w:pgSz w:w="12240" w:h="15840"/>
          <w:pgMar w:top="1440" w:right="1440" w:bottom="1440" w:left="1440" w:header="720" w:footer="720" w:gutter="0"/>
          <w:cols w:space="720"/>
          <w:docGrid w:linePitch="360"/>
        </w:sectPr>
      </w:pPr>
      <w:bookmarkStart w:id="0" w:name="_GoBack"/>
      <w:bookmarkEnd w:id="0"/>
    </w:p>
    <w:p w:rsidR="00FE7818" w:rsidRPr="00804FE7" w:rsidRDefault="00FE7818" w:rsidP="00064E0B">
      <w:pPr>
        <w:rPr>
          <w:sz w:val="20"/>
          <w:szCs w:val="20"/>
        </w:rPr>
      </w:pPr>
    </w:p>
    <w:sectPr w:rsidR="00FE7818" w:rsidRPr="00804FE7" w:rsidSect="008E6D0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EBA" w:rsidRDefault="00160EBA" w:rsidP="004E22C1">
      <w:pPr>
        <w:spacing w:after="0" w:line="240" w:lineRule="auto"/>
      </w:pPr>
      <w:r>
        <w:separator/>
      </w:r>
    </w:p>
  </w:endnote>
  <w:endnote w:type="continuationSeparator" w:id="0">
    <w:p w:rsidR="00160EBA" w:rsidRDefault="00160EBA" w:rsidP="004E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Kalinga">
    <w:panose1 w:val="020B0502040204020203"/>
    <w:charset w:val="00"/>
    <w:family w:val="swiss"/>
    <w:pitch w:val="variable"/>
    <w:sig w:usb0="0008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EBA" w:rsidRDefault="00160EBA" w:rsidP="004E22C1">
      <w:pPr>
        <w:spacing w:after="0" w:line="240" w:lineRule="auto"/>
      </w:pPr>
      <w:r>
        <w:separator/>
      </w:r>
    </w:p>
  </w:footnote>
  <w:footnote w:type="continuationSeparator" w:id="0">
    <w:p w:rsidR="00160EBA" w:rsidRDefault="00160EBA" w:rsidP="004E22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FE7"/>
    <w:rsid w:val="00064E0B"/>
    <w:rsid w:val="00160EBA"/>
    <w:rsid w:val="00327405"/>
    <w:rsid w:val="0036773A"/>
    <w:rsid w:val="004E22C1"/>
    <w:rsid w:val="007242D9"/>
    <w:rsid w:val="00804FE7"/>
    <w:rsid w:val="008E6D06"/>
    <w:rsid w:val="00FE7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C396C-C061-42AB-A915-F502BF80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FE7"/>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4FE7"/>
    <w:pPr>
      <w:spacing w:after="0" w:line="240" w:lineRule="auto"/>
    </w:pPr>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Table1Light-Accent4">
    <w:name w:val="List Table 1 Light Accent 4"/>
    <w:basedOn w:val="TableNormal"/>
    <w:uiPriority w:val="46"/>
    <w:rsid w:val="004E22C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Header">
    <w:name w:val="header"/>
    <w:basedOn w:val="Normal"/>
    <w:link w:val="HeaderChar"/>
    <w:uiPriority w:val="99"/>
    <w:unhideWhenUsed/>
    <w:rsid w:val="004E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2C1"/>
    <w:rPr>
      <w:lang w:val="en-ZA"/>
    </w:rPr>
  </w:style>
  <w:style w:type="paragraph" w:styleId="Footer">
    <w:name w:val="footer"/>
    <w:basedOn w:val="Normal"/>
    <w:link w:val="FooterChar"/>
    <w:uiPriority w:val="99"/>
    <w:unhideWhenUsed/>
    <w:rsid w:val="004E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2C1"/>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yendetnm@gmail.com"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D9074-CFE2-4E5A-9937-64810B429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dc:creator>
  <cp:keywords/>
  <dc:description/>
  <cp:lastModifiedBy>ST</cp:lastModifiedBy>
  <cp:revision>2</cp:revision>
  <dcterms:created xsi:type="dcterms:W3CDTF">2017-08-31T12:25:00Z</dcterms:created>
  <dcterms:modified xsi:type="dcterms:W3CDTF">2017-08-31T13:37:00Z</dcterms:modified>
</cp:coreProperties>
</file>