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D1" w:rsidRPr="006236E2" w:rsidRDefault="005124D1" w:rsidP="005124D1">
      <w:pPr>
        <w:spacing w:after="120"/>
        <w:rPr>
          <w:rFonts w:ascii="Times New Roman" w:hAnsi="Times New Roman" w:cs="Times New Roman"/>
          <w:b/>
          <w:sz w:val="24"/>
          <w:szCs w:val="24"/>
        </w:rPr>
      </w:pPr>
      <w:r w:rsidRPr="006236E2">
        <w:rPr>
          <w:rFonts w:ascii="Times New Roman" w:hAnsi="Times New Roman" w:cs="Times New Roman"/>
          <w:b/>
          <w:sz w:val="24"/>
          <w:szCs w:val="24"/>
        </w:rPr>
        <w:t>MALOLACTIC FERMENTATION AND AGEING IN OAK WOOD BARRELS: IMPACT ON ELLAGITANNIN AND ANTHOCYANIN CONTENT, VOLATILE COMPOSITION AND SENSORY PROFILE OF RED WINES</w:t>
      </w:r>
    </w:p>
    <w:p w:rsidR="005973B9" w:rsidRPr="00C80618" w:rsidRDefault="00C80618" w:rsidP="005973B9">
      <w:pPr>
        <w:pStyle w:val="Corpsdetexte"/>
        <w:spacing w:before="73" w:line="198" w:lineRule="exact"/>
        <w:ind w:left="100" w:right="5987"/>
        <w:rPr>
          <w:rFonts w:ascii="Arial"/>
          <w:lang w:val="fr-FR"/>
        </w:rPr>
      </w:pPr>
      <w:proofErr w:type="spellStart"/>
      <w:r w:rsidRPr="00C80618">
        <w:rPr>
          <w:rFonts w:ascii="Arial"/>
          <w:lang w:val="fr-FR"/>
        </w:rPr>
        <w:t>Kleopatra</w:t>
      </w:r>
      <w:proofErr w:type="spellEnd"/>
      <w:r w:rsidRPr="00C80618">
        <w:rPr>
          <w:rFonts w:ascii="Arial"/>
          <w:lang w:val="fr-FR"/>
        </w:rPr>
        <w:t xml:space="preserve"> CHIRA, </w:t>
      </w:r>
      <w:proofErr w:type="spellStart"/>
      <w:r w:rsidRPr="00C80618">
        <w:rPr>
          <w:rFonts w:ascii="Arial"/>
          <w:lang w:val="fr-FR"/>
        </w:rPr>
        <w:t>Research</w:t>
      </w:r>
      <w:proofErr w:type="spellEnd"/>
      <w:r w:rsidRPr="00C80618">
        <w:rPr>
          <w:rFonts w:ascii="Arial"/>
          <w:lang w:val="fr-FR"/>
        </w:rPr>
        <w:t xml:space="preserve"> </w:t>
      </w:r>
      <w:proofErr w:type="spellStart"/>
      <w:r w:rsidRPr="00C80618">
        <w:rPr>
          <w:rFonts w:ascii="Arial"/>
          <w:lang w:val="fr-FR"/>
        </w:rPr>
        <w:t>Scientist</w:t>
      </w:r>
      <w:proofErr w:type="spellEnd"/>
      <w:r w:rsidRPr="00C80618">
        <w:rPr>
          <w:rFonts w:ascii="Arial"/>
          <w:lang w:val="fr-FR"/>
        </w:rPr>
        <w:t xml:space="preserve"> in </w:t>
      </w:r>
      <w:r w:rsidRPr="00C80618">
        <w:rPr>
          <w:rFonts w:ascii="Arial" w:hAnsi="Arial" w:cs="Arial"/>
          <w:lang w:val="fr-FR"/>
        </w:rPr>
        <w:t>Institut des Sciences de la Vigne et du Vin, Unité de recherche Œnologie, Bordeaux</w:t>
      </w:r>
    </w:p>
    <w:p w:rsidR="00AE3E37" w:rsidRPr="00C80618" w:rsidRDefault="00AE3E37">
      <w:pPr>
        <w:rPr>
          <w:rFonts w:ascii="Arial"/>
          <w:sz w:val="21"/>
          <w:lang w:val="fr-FR"/>
        </w:rPr>
        <w:sectPr w:rsidR="00AE3E37" w:rsidRPr="00C80618">
          <w:headerReference w:type="default" r:id="rId8"/>
          <w:footerReference w:type="default" r:id="rId9"/>
          <w:type w:val="continuous"/>
          <w:pgSz w:w="11910" w:h="16840"/>
          <w:pgMar w:top="1740" w:right="600" w:bottom="840" w:left="620" w:header="541" w:footer="642" w:gutter="0"/>
          <w:cols w:space="720"/>
        </w:sectPr>
      </w:pPr>
    </w:p>
    <w:p w:rsidR="00AE3E37" w:rsidRPr="00C80618" w:rsidRDefault="00A9710C">
      <w:pPr>
        <w:pStyle w:val="Titre3"/>
        <w:spacing w:before="147"/>
        <w:jc w:val="both"/>
        <w:rPr>
          <w:lang w:val="fr-FR"/>
        </w:rPr>
      </w:pPr>
      <w:r w:rsidRPr="00C80618">
        <w:rPr>
          <w:color w:val="BF5A14"/>
          <w:lang w:val="fr-FR"/>
        </w:rPr>
        <w:lastRenderedPageBreak/>
        <w:t>Abstract</w:t>
      </w:r>
      <w:r w:rsidR="00404E5B" w:rsidRPr="00C80618">
        <w:rPr>
          <w:color w:val="BF5A14"/>
          <w:lang w:val="fr-FR"/>
        </w:rPr>
        <w:t xml:space="preserve"> (300 </w:t>
      </w:r>
      <w:proofErr w:type="spellStart"/>
      <w:r w:rsidR="00404E5B" w:rsidRPr="00C80618">
        <w:rPr>
          <w:color w:val="BF5A14"/>
          <w:lang w:val="fr-FR"/>
        </w:rPr>
        <w:t>word</w:t>
      </w:r>
      <w:proofErr w:type="spellEnd"/>
      <w:r w:rsidR="00404E5B" w:rsidRPr="00C80618">
        <w:rPr>
          <w:color w:val="BF5A14"/>
          <w:lang w:val="fr-FR"/>
        </w:rPr>
        <w:t xml:space="preserve"> </w:t>
      </w:r>
      <w:proofErr w:type="spellStart"/>
      <w:r w:rsidR="00404E5B" w:rsidRPr="00C80618">
        <w:rPr>
          <w:color w:val="BF5A14"/>
          <w:lang w:val="fr-FR"/>
        </w:rPr>
        <w:t>limit</w:t>
      </w:r>
      <w:proofErr w:type="spellEnd"/>
      <w:r w:rsidR="00404E5B" w:rsidRPr="00C80618">
        <w:rPr>
          <w:color w:val="BF5A14"/>
          <w:lang w:val="fr-FR"/>
        </w:rPr>
        <w:t>)</w:t>
      </w:r>
    </w:p>
    <w:p w:rsidR="00ED7E71" w:rsidRDefault="00C80618" w:rsidP="00C80618">
      <w:pPr>
        <w:pStyle w:val="Titre3"/>
        <w:spacing w:before="74"/>
        <w:jc w:val="both"/>
        <w:rPr>
          <w:rFonts w:ascii="Tw Cen MT" w:eastAsia="Tw Cen MT" w:hAnsi="Tw Cen MT" w:cs="Tw Cen MT"/>
          <w:b w:val="0"/>
          <w:bCs w:val="0"/>
          <w:sz w:val="18"/>
          <w:szCs w:val="18"/>
        </w:rPr>
      </w:pPr>
      <w:r w:rsidRPr="00C80618">
        <w:rPr>
          <w:rFonts w:ascii="Tw Cen MT" w:eastAsia="Tw Cen MT" w:hAnsi="Tw Cen MT" w:cs="Tw Cen MT"/>
          <w:b w:val="0"/>
          <w:bCs w:val="0"/>
          <w:sz w:val="18"/>
          <w:szCs w:val="18"/>
        </w:rPr>
        <w:t xml:space="preserve">Chemical composition, aromatic profile and sensory attributes of wines lie in the grape variety, winemaking procedure, maturation and ageing. Traditional red wine production usually consists of performing both alcoholic and malolactic fermentations in the same tank, and then, ageing in oak barrels for a variable period of time, ranging from a few months to over a year. In an attempt to obtain particular quality wines with their own personality and a higher organoleptic complexity, alternative production technologies, such as carrying out the malolactic fermentation (MLF) in the same oak barrels where ageing will take place, are being introduced in the wineries in an increasingly widespread way. The present research compares </w:t>
      </w:r>
      <w:proofErr w:type="spellStart"/>
      <w:r w:rsidRPr="00C80618">
        <w:rPr>
          <w:rFonts w:ascii="Tw Cen MT" w:eastAsia="Tw Cen MT" w:hAnsi="Tw Cen MT" w:cs="Tw Cen MT"/>
          <w:b w:val="0"/>
          <w:bCs w:val="0"/>
          <w:sz w:val="18"/>
          <w:szCs w:val="18"/>
        </w:rPr>
        <w:t>ellagitannin</w:t>
      </w:r>
      <w:proofErr w:type="spellEnd"/>
      <w:r w:rsidRPr="00C80618">
        <w:rPr>
          <w:rFonts w:ascii="Tw Cen MT" w:eastAsia="Tw Cen MT" w:hAnsi="Tw Cen MT" w:cs="Tw Cen MT"/>
          <w:b w:val="0"/>
          <w:bCs w:val="0"/>
          <w:sz w:val="18"/>
          <w:szCs w:val="18"/>
        </w:rPr>
        <w:t xml:space="preserve"> and anthocyanin profiles, woody volatile composition and sensory properties of wines in which malolactic fermentation (MLF) takes place in tanks prior to 12-months ageing or in oak barrels themselves. Three different barrel </w:t>
      </w:r>
      <w:proofErr w:type="spellStart"/>
      <w:r w:rsidRPr="00C80618">
        <w:rPr>
          <w:rFonts w:ascii="Tw Cen MT" w:eastAsia="Tw Cen MT" w:hAnsi="Tw Cen MT" w:cs="Tw Cen MT"/>
          <w:b w:val="0"/>
          <w:bCs w:val="0"/>
          <w:sz w:val="18"/>
          <w:szCs w:val="18"/>
        </w:rPr>
        <w:t>toastings</w:t>
      </w:r>
      <w:proofErr w:type="spellEnd"/>
      <w:r w:rsidRPr="00C80618">
        <w:rPr>
          <w:rFonts w:ascii="Tw Cen MT" w:eastAsia="Tw Cen MT" w:hAnsi="Tw Cen MT" w:cs="Tw Cen MT"/>
          <w:b w:val="0"/>
          <w:bCs w:val="0"/>
          <w:sz w:val="18"/>
          <w:szCs w:val="18"/>
        </w:rPr>
        <w:t xml:space="preserve"> (medium toast, MT; medium toast with watering, MTAA; </w:t>
      </w:r>
      <w:proofErr w:type="spellStart"/>
      <w:r w:rsidRPr="00C80618">
        <w:rPr>
          <w:rFonts w:ascii="Tw Cen MT" w:eastAsia="Tw Cen MT" w:hAnsi="Tw Cen MT" w:cs="Tw Cen MT"/>
          <w:b w:val="0"/>
          <w:bCs w:val="0"/>
          <w:sz w:val="18"/>
          <w:szCs w:val="18"/>
        </w:rPr>
        <w:t>noisette</w:t>
      </w:r>
      <w:proofErr w:type="spellEnd"/>
      <w:r w:rsidRPr="00C80618">
        <w:rPr>
          <w:rFonts w:ascii="Tw Cen MT" w:eastAsia="Tw Cen MT" w:hAnsi="Tw Cen MT" w:cs="Tw Cen MT"/>
          <w:b w:val="0"/>
          <w:bCs w:val="0"/>
          <w:sz w:val="18"/>
          <w:szCs w:val="18"/>
        </w:rPr>
        <w:t xml:space="preserve">) were considered for ageing of each wine modality. Sensory analyses (triangle and rating tests) were also performed. Two-way ANOVA of the raw experimental data revealed that the toasting method and the container where MLF took place, as well as the interaction between both factors, have a significant influence on </w:t>
      </w:r>
      <w:proofErr w:type="spellStart"/>
      <w:r w:rsidRPr="00C80618">
        <w:rPr>
          <w:rFonts w:ascii="Tw Cen MT" w:eastAsia="Tw Cen MT" w:hAnsi="Tw Cen MT" w:cs="Tw Cen MT"/>
          <w:b w:val="0"/>
          <w:bCs w:val="0"/>
          <w:sz w:val="18"/>
          <w:szCs w:val="18"/>
        </w:rPr>
        <w:t>ellagitannin</w:t>
      </w:r>
      <w:proofErr w:type="spellEnd"/>
      <w:r w:rsidRPr="00C80618">
        <w:rPr>
          <w:rFonts w:ascii="Tw Cen MT" w:eastAsia="Tw Cen MT" w:hAnsi="Tw Cen MT" w:cs="Tw Cen MT"/>
          <w:b w:val="0"/>
          <w:bCs w:val="0"/>
          <w:sz w:val="18"/>
          <w:szCs w:val="18"/>
        </w:rPr>
        <w:t xml:space="preserve">, anthocyanin and woody volatile profiles of Cabernet Sauvignon wines. Barrel-fermented wines generally presented 1.2-fold higher total </w:t>
      </w:r>
      <w:proofErr w:type="spellStart"/>
      <w:r w:rsidRPr="00C80618">
        <w:rPr>
          <w:rFonts w:ascii="Tw Cen MT" w:eastAsia="Tw Cen MT" w:hAnsi="Tw Cen MT" w:cs="Tw Cen MT"/>
          <w:b w:val="0"/>
          <w:bCs w:val="0"/>
          <w:sz w:val="18"/>
          <w:szCs w:val="18"/>
        </w:rPr>
        <w:t>phenolics</w:t>
      </w:r>
      <w:proofErr w:type="spellEnd"/>
      <w:r w:rsidRPr="00C80618">
        <w:rPr>
          <w:rFonts w:ascii="Tw Cen MT" w:eastAsia="Tw Cen MT" w:hAnsi="Tw Cen MT" w:cs="Tw Cen MT"/>
          <w:b w:val="0"/>
          <w:bCs w:val="0"/>
          <w:sz w:val="18"/>
          <w:szCs w:val="18"/>
        </w:rPr>
        <w:t xml:space="preserve">, whereas tank-fermented wines exhibited 1.1 and 1.2-fold greater total </w:t>
      </w:r>
      <w:proofErr w:type="spellStart"/>
      <w:r w:rsidRPr="00C80618">
        <w:rPr>
          <w:rFonts w:ascii="Tw Cen MT" w:eastAsia="Tw Cen MT" w:hAnsi="Tw Cen MT" w:cs="Tw Cen MT"/>
          <w:b w:val="0"/>
          <w:bCs w:val="0"/>
          <w:sz w:val="18"/>
          <w:szCs w:val="18"/>
        </w:rPr>
        <w:t>proanthocyanidin</w:t>
      </w:r>
      <w:proofErr w:type="spellEnd"/>
      <w:r w:rsidRPr="00C80618">
        <w:rPr>
          <w:rFonts w:ascii="Tw Cen MT" w:eastAsia="Tw Cen MT" w:hAnsi="Tw Cen MT" w:cs="Tw Cen MT"/>
          <w:b w:val="0"/>
          <w:bCs w:val="0"/>
          <w:sz w:val="18"/>
          <w:szCs w:val="18"/>
        </w:rPr>
        <w:t xml:space="preserve"> and anthocyanin contents, respectively. Concerning the </w:t>
      </w:r>
      <w:proofErr w:type="spellStart"/>
      <w:r w:rsidRPr="00C80618">
        <w:rPr>
          <w:rFonts w:ascii="Tw Cen MT" w:eastAsia="Tw Cen MT" w:hAnsi="Tw Cen MT" w:cs="Tw Cen MT"/>
          <w:b w:val="0"/>
          <w:bCs w:val="0"/>
          <w:sz w:val="18"/>
          <w:szCs w:val="18"/>
        </w:rPr>
        <w:t>ellagitannin</w:t>
      </w:r>
      <w:proofErr w:type="spellEnd"/>
      <w:r w:rsidRPr="00C80618">
        <w:rPr>
          <w:rFonts w:ascii="Tw Cen MT" w:eastAsia="Tw Cen MT" w:hAnsi="Tw Cen MT" w:cs="Tw Cen MT"/>
          <w:b w:val="0"/>
          <w:bCs w:val="0"/>
          <w:sz w:val="18"/>
          <w:szCs w:val="18"/>
        </w:rPr>
        <w:t xml:space="preserve"> composition, barrel toasting effect seemed to be more important that differences due to MLF-container. Certain woody and fruity volatiles varied significantly depending on whether MLF occurred in barrels or tanks. Barrel-fermented wines were preferred in mouth, while olfactory preference depended on barrel toasting. </w:t>
      </w:r>
    </w:p>
    <w:p w:rsidR="00AE3E37" w:rsidRDefault="00A9710C" w:rsidP="00ED7E71">
      <w:pPr>
        <w:pStyle w:val="Titre3"/>
        <w:spacing w:before="74"/>
        <w:ind w:left="0"/>
        <w:jc w:val="both"/>
        <w:rPr>
          <w:color w:val="BF5A14"/>
        </w:rPr>
      </w:pPr>
      <w:r>
        <w:rPr>
          <w:color w:val="BF5A14"/>
        </w:rPr>
        <w:t>Image</w:t>
      </w:r>
    </w:p>
    <w:p w:rsidR="00ED7E71" w:rsidRDefault="00ED7E71" w:rsidP="00ED7E71">
      <w:pPr>
        <w:pStyle w:val="Titre3"/>
        <w:spacing w:before="74"/>
        <w:ind w:left="0"/>
        <w:jc w:val="both"/>
      </w:pPr>
      <w:r>
        <w:rPr>
          <w:noProof/>
          <w:lang w:val="fr-FR" w:eastAsia="fr-FR"/>
        </w:rPr>
        <w:lastRenderedPageBreak/>
        <w:drawing>
          <wp:inline distT="0" distB="0" distL="0" distR="0" wp14:anchorId="7041308A" wp14:editId="0FF01785">
            <wp:extent cx="2934000" cy="2433600"/>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4000" cy="2433600"/>
                    </a:xfrm>
                    <a:prstGeom prst="rect">
                      <a:avLst/>
                    </a:prstGeom>
                    <a:noFill/>
                  </pic:spPr>
                </pic:pic>
              </a:graphicData>
            </a:graphic>
          </wp:inline>
        </w:drawing>
      </w:r>
    </w:p>
    <w:p w:rsidR="00AE3E37" w:rsidRDefault="00AE3E3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3F1348" w:rsidRDefault="00293736" w:rsidP="00553DEE">
      <w:pPr>
        <w:pStyle w:val="Paragraphedeliste"/>
        <w:numPr>
          <w:ilvl w:val="0"/>
          <w:numId w:val="3"/>
        </w:numPr>
        <w:tabs>
          <w:tab w:val="left" w:pos="384"/>
        </w:tabs>
        <w:spacing w:before="103" w:line="216" w:lineRule="exact"/>
        <w:ind w:right="138"/>
        <w:rPr>
          <w:sz w:val="18"/>
          <w:szCs w:val="18"/>
        </w:rPr>
      </w:pPr>
      <w:r w:rsidRPr="003F1348">
        <w:rPr>
          <w:sz w:val="18"/>
          <w:szCs w:val="18"/>
        </w:rPr>
        <w:t xml:space="preserve">González-Centeno, M.R., </w:t>
      </w:r>
      <w:proofErr w:type="spellStart"/>
      <w:r w:rsidRPr="003F1348">
        <w:rPr>
          <w:sz w:val="18"/>
          <w:szCs w:val="18"/>
        </w:rPr>
        <w:t>Chira</w:t>
      </w:r>
      <w:proofErr w:type="spellEnd"/>
      <w:r w:rsidRPr="003F1348">
        <w:rPr>
          <w:sz w:val="18"/>
          <w:szCs w:val="18"/>
        </w:rPr>
        <w:t xml:space="preserve">, K., </w:t>
      </w:r>
      <w:proofErr w:type="spellStart"/>
      <w:r w:rsidRPr="003F1348">
        <w:rPr>
          <w:sz w:val="18"/>
          <w:szCs w:val="18"/>
        </w:rPr>
        <w:t>Teissedre</w:t>
      </w:r>
      <w:proofErr w:type="spellEnd"/>
      <w:r w:rsidRPr="003F1348">
        <w:rPr>
          <w:sz w:val="18"/>
          <w:szCs w:val="18"/>
        </w:rPr>
        <w:t xml:space="preserve">, P.-L </w:t>
      </w:r>
      <w:r w:rsidR="005973B9" w:rsidRPr="003F1348">
        <w:rPr>
          <w:sz w:val="18"/>
          <w:szCs w:val="18"/>
        </w:rPr>
        <w:t>(20</w:t>
      </w:r>
      <w:r w:rsidRPr="003F1348">
        <w:rPr>
          <w:sz w:val="18"/>
          <w:szCs w:val="18"/>
        </w:rPr>
        <w:t>17</w:t>
      </w:r>
      <w:r w:rsidR="005973B9" w:rsidRPr="003F1348">
        <w:rPr>
          <w:sz w:val="18"/>
          <w:szCs w:val="18"/>
        </w:rPr>
        <w:t xml:space="preserve">) </w:t>
      </w:r>
      <w:r w:rsidRPr="003F1348">
        <w:rPr>
          <w:sz w:val="18"/>
          <w:szCs w:val="18"/>
        </w:rPr>
        <w:t xml:space="preserve">Comparison between Malolactic Fermentation Container and Barrel Toasting Effects on </w:t>
      </w:r>
      <w:proofErr w:type="spellStart"/>
      <w:r w:rsidRPr="003F1348">
        <w:rPr>
          <w:sz w:val="18"/>
          <w:szCs w:val="18"/>
        </w:rPr>
        <w:t>Phenolic,Volatile</w:t>
      </w:r>
      <w:proofErr w:type="spellEnd"/>
      <w:r w:rsidRPr="003F1348">
        <w:rPr>
          <w:sz w:val="18"/>
          <w:szCs w:val="18"/>
        </w:rPr>
        <w:t>, and Sensory Profiles of Red Wines</w:t>
      </w:r>
      <w:r w:rsidR="005973B9" w:rsidRPr="003F1348">
        <w:rPr>
          <w:sz w:val="18"/>
          <w:szCs w:val="18"/>
        </w:rPr>
        <w:t>.</w:t>
      </w:r>
      <w:r w:rsidR="00553DEE" w:rsidRPr="00553DEE">
        <w:t xml:space="preserve"> </w:t>
      </w:r>
      <w:r w:rsidR="00553DEE" w:rsidRPr="00553DEE">
        <w:rPr>
          <w:sz w:val="18"/>
          <w:szCs w:val="18"/>
        </w:rPr>
        <w:t>Journal of Agricultural and Food Chemistry</w:t>
      </w:r>
      <w:r w:rsidR="005973B9" w:rsidRPr="003F1348">
        <w:rPr>
          <w:sz w:val="18"/>
          <w:szCs w:val="18"/>
        </w:rPr>
        <w:t xml:space="preserve"> </w:t>
      </w:r>
      <w:r w:rsidR="003F1348" w:rsidRPr="003F1348">
        <w:rPr>
          <w:sz w:val="18"/>
          <w:szCs w:val="18"/>
        </w:rPr>
        <w:t>65</w:t>
      </w:r>
      <w:r w:rsidR="005973B9" w:rsidRPr="003F1348">
        <w:rPr>
          <w:sz w:val="18"/>
          <w:szCs w:val="18"/>
        </w:rPr>
        <w:t>:</w:t>
      </w:r>
      <w:r w:rsidR="003F1348" w:rsidRPr="003F1348">
        <w:rPr>
          <w:sz w:val="18"/>
          <w:szCs w:val="18"/>
        </w:rPr>
        <w:t xml:space="preserve"> 3320-3329</w:t>
      </w:r>
      <w:r w:rsidR="005973B9" w:rsidRPr="003F1348">
        <w:rPr>
          <w:sz w:val="18"/>
          <w:szCs w:val="18"/>
        </w:rPr>
        <w:t>.</w:t>
      </w:r>
    </w:p>
    <w:p w:rsidR="005973B9" w:rsidRPr="003F1348" w:rsidRDefault="003F1348" w:rsidP="003F1348">
      <w:pPr>
        <w:pStyle w:val="Paragraphedeliste"/>
        <w:numPr>
          <w:ilvl w:val="0"/>
          <w:numId w:val="3"/>
        </w:numPr>
        <w:tabs>
          <w:tab w:val="left" w:pos="384"/>
        </w:tabs>
        <w:spacing w:line="216" w:lineRule="exact"/>
        <w:ind w:right="137"/>
        <w:rPr>
          <w:sz w:val="18"/>
        </w:rPr>
      </w:pPr>
      <w:r w:rsidRPr="003F1348">
        <w:rPr>
          <w:sz w:val="18"/>
        </w:rPr>
        <w:t xml:space="preserve">González-Centeno, M.R., </w:t>
      </w:r>
      <w:proofErr w:type="spellStart"/>
      <w:r w:rsidRPr="003F1348">
        <w:rPr>
          <w:sz w:val="18"/>
        </w:rPr>
        <w:t>Chira</w:t>
      </w:r>
      <w:proofErr w:type="spellEnd"/>
      <w:r w:rsidRPr="003F1348">
        <w:rPr>
          <w:sz w:val="18"/>
        </w:rPr>
        <w:t xml:space="preserve">, K., </w:t>
      </w:r>
      <w:proofErr w:type="spellStart"/>
      <w:r w:rsidRPr="003F1348">
        <w:rPr>
          <w:sz w:val="18"/>
        </w:rPr>
        <w:t>Teissedre</w:t>
      </w:r>
      <w:proofErr w:type="spellEnd"/>
      <w:r w:rsidRPr="003F1348">
        <w:rPr>
          <w:sz w:val="18"/>
        </w:rPr>
        <w:t xml:space="preserve">, P.-L. </w:t>
      </w:r>
      <w:r w:rsidR="005973B9">
        <w:rPr>
          <w:sz w:val="18"/>
        </w:rPr>
        <w:t>(20</w:t>
      </w:r>
      <w:r>
        <w:rPr>
          <w:sz w:val="18"/>
        </w:rPr>
        <w:t>1</w:t>
      </w:r>
      <w:r w:rsidR="005973B9">
        <w:rPr>
          <w:sz w:val="18"/>
        </w:rPr>
        <w:t xml:space="preserve">6) </w:t>
      </w:r>
      <w:proofErr w:type="spellStart"/>
      <w:r w:rsidRPr="003F1348">
        <w:rPr>
          <w:sz w:val="18"/>
        </w:rPr>
        <w:t>Ellagitannin</w:t>
      </w:r>
      <w:proofErr w:type="spellEnd"/>
      <w:r w:rsidRPr="003F1348">
        <w:rPr>
          <w:sz w:val="18"/>
        </w:rPr>
        <w:t xml:space="preserve"> content, volatile composition and sensory profile of wines from different countries</w:t>
      </w:r>
      <w:r>
        <w:rPr>
          <w:sz w:val="18"/>
        </w:rPr>
        <w:t xml:space="preserve"> </w:t>
      </w:r>
      <w:r w:rsidRPr="003F1348">
        <w:rPr>
          <w:sz w:val="18"/>
        </w:rPr>
        <w:t>matured in oak barrels subjected to different toasting methods</w:t>
      </w:r>
      <w:r w:rsidR="00553DEE">
        <w:rPr>
          <w:sz w:val="18"/>
        </w:rPr>
        <w:t xml:space="preserve"> Food Chemistry</w:t>
      </w:r>
      <w:r w:rsidR="005973B9" w:rsidRPr="003F1348">
        <w:rPr>
          <w:sz w:val="18"/>
        </w:rPr>
        <w:t xml:space="preserve"> </w:t>
      </w:r>
      <w:r>
        <w:rPr>
          <w:sz w:val="18"/>
        </w:rPr>
        <w:t>2</w:t>
      </w:r>
      <w:r w:rsidR="005973B9" w:rsidRPr="003F1348">
        <w:rPr>
          <w:sz w:val="18"/>
        </w:rPr>
        <w:t>1</w:t>
      </w:r>
      <w:r>
        <w:rPr>
          <w:sz w:val="18"/>
        </w:rPr>
        <w:t>0</w:t>
      </w:r>
      <w:r w:rsidR="005973B9" w:rsidRPr="003F1348">
        <w:rPr>
          <w:sz w:val="18"/>
        </w:rPr>
        <w:t>:</w:t>
      </w:r>
      <w:r>
        <w:rPr>
          <w:sz w:val="18"/>
        </w:rPr>
        <w:t>500</w:t>
      </w:r>
      <w:r w:rsidR="005973B9" w:rsidRPr="003F1348">
        <w:rPr>
          <w:sz w:val="18"/>
        </w:rPr>
        <w:t>-</w:t>
      </w:r>
      <w:r>
        <w:rPr>
          <w:sz w:val="18"/>
        </w:rPr>
        <w:t>511</w:t>
      </w:r>
      <w:r w:rsidR="005973B9" w:rsidRPr="003F1348">
        <w:rPr>
          <w:sz w:val="18"/>
        </w:rPr>
        <w:t>.</w:t>
      </w:r>
    </w:p>
    <w:p w:rsidR="003F1348" w:rsidRPr="0009458C" w:rsidRDefault="003F1348" w:rsidP="00391DB0">
      <w:pPr>
        <w:pStyle w:val="Paragraphedeliste"/>
        <w:numPr>
          <w:ilvl w:val="0"/>
          <w:numId w:val="3"/>
        </w:numPr>
        <w:tabs>
          <w:tab w:val="left" w:pos="384"/>
        </w:tabs>
        <w:spacing w:line="216" w:lineRule="exact"/>
        <w:ind w:right="138"/>
        <w:rPr>
          <w:sz w:val="18"/>
          <w:szCs w:val="18"/>
        </w:rPr>
      </w:pPr>
      <w:proofErr w:type="spellStart"/>
      <w:r w:rsidRPr="00391DB0">
        <w:rPr>
          <w:sz w:val="18"/>
        </w:rPr>
        <w:t>Chira</w:t>
      </w:r>
      <w:proofErr w:type="spellEnd"/>
      <w:r w:rsidRPr="00391DB0">
        <w:rPr>
          <w:sz w:val="18"/>
        </w:rPr>
        <w:t xml:space="preserve">, K., Zeng, L., Le </w:t>
      </w:r>
      <w:proofErr w:type="spellStart"/>
      <w:r w:rsidRPr="00391DB0">
        <w:rPr>
          <w:sz w:val="18"/>
        </w:rPr>
        <w:t>Floch</w:t>
      </w:r>
      <w:proofErr w:type="spellEnd"/>
      <w:r w:rsidRPr="00391DB0">
        <w:rPr>
          <w:sz w:val="18"/>
        </w:rPr>
        <w:t xml:space="preserve">, A., </w:t>
      </w:r>
      <w:proofErr w:type="spellStart"/>
      <w:r w:rsidRPr="00391DB0">
        <w:rPr>
          <w:sz w:val="18"/>
        </w:rPr>
        <w:t>Péchamat</w:t>
      </w:r>
      <w:proofErr w:type="spellEnd"/>
      <w:r w:rsidRPr="00391DB0">
        <w:rPr>
          <w:sz w:val="18"/>
        </w:rPr>
        <w:t xml:space="preserve">, L., </w:t>
      </w:r>
      <w:proofErr w:type="spellStart"/>
      <w:r w:rsidRPr="00391DB0">
        <w:rPr>
          <w:sz w:val="18"/>
        </w:rPr>
        <w:t>Jourdes</w:t>
      </w:r>
      <w:proofErr w:type="spellEnd"/>
      <w:r w:rsidRPr="00391DB0">
        <w:rPr>
          <w:sz w:val="18"/>
        </w:rPr>
        <w:t xml:space="preserve">, M., </w:t>
      </w:r>
      <w:proofErr w:type="spellStart"/>
      <w:r w:rsidRPr="00391DB0">
        <w:rPr>
          <w:sz w:val="18"/>
        </w:rPr>
        <w:t>Teissedre</w:t>
      </w:r>
      <w:proofErr w:type="spellEnd"/>
      <w:r w:rsidRPr="00391DB0">
        <w:rPr>
          <w:sz w:val="18"/>
        </w:rPr>
        <w:t>, P.-L. (2015)</w:t>
      </w:r>
      <w:r w:rsidR="00391DB0" w:rsidRPr="00391DB0">
        <w:rPr>
          <w:sz w:val="18"/>
        </w:rPr>
        <w:t xml:space="preserve"> </w:t>
      </w:r>
      <w:r w:rsidRPr="00391DB0">
        <w:rPr>
          <w:rFonts w:eastAsiaTheme="minorHAnsi" w:cs="ArialUnicodeMS"/>
          <w:sz w:val="18"/>
          <w:szCs w:val="18"/>
        </w:rPr>
        <w:t xml:space="preserve">Compositional and sensory characterization of grape </w:t>
      </w:r>
      <w:proofErr w:type="spellStart"/>
      <w:r w:rsidRPr="00391DB0">
        <w:rPr>
          <w:rFonts w:eastAsiaTheme="minorHAnsi" w:cs="ArialUnicodeMS"/>
          <w:sz w:val="18"/>
          <w:szCs w:val="18"/>
        </w:rPr>
        <w:t>proanthocyanidins</w:t>
      </w:r>
      <w:proofErr w:type="spellEnd"/>
      <w:r w:rsidRPr="00391DB0">
        <w:rPr>
          <w:rFonts w:eastAsiaTheme="minorHAnsi" w:cs="ArialUnicodeMS"/>
          <w:sz w:val="18"/>
          <w:szCs w:val="18"/>
        </w:rPr>
        <w:t xml:space="preserve"> and oak wood </w:t>
      </w:r>
      <w:proofErr w:type="spellStart"/>
      <w:r w:rsidRPr="00391DB0">
        <w:rPr>
          <w:rFonts w:eastAsiaTheme="minorHAnsi" w:cs="ArialUnicodeMS"/>
          <w:sz w:val="18"/>
          <w:szCs w:val="18"/>
        </w:rPr>
        <w:t>ellagitannin</w:t>
      </w:r>
      <w:proofErr w:type="spellEnd"/>
      <w:r w:rsidR="00391DB0" w:rsidRPr="00391DB0">
        <w:rPr>
          <w:rFonts w:ascii="ArialUnicodeMS" w:eastAsiaTheme="minorHAnsi" w:hAnsi="ArialUnicodeMS" w:cs="ArialUnicodeMS"/>
          <w:color w:val="404040"/>
          <w:sz w:val="18"/>
          <w:szCs w:val="18"/>
        </w:rPr>
        <w:t>)</w:t>
      </w:r>
      <w:r w:rsidR="00391DB0">
        <w:rPr>
          <w:rFonts w:ascii="ArialUnicodeMS" w:eastAsiaTheme="minorHAnsi" w:hAnsi="ArialUnicodeMS" w:cs="ArialUnicodeMS"/>
          <w:color w:val="404040"/>
          <w:sz w:val="18"/>
          <w:szCs w:val="18"/>
        </w:rPr>
        <w:t>.</w:t>
      </w:r>
      <w:r w:rsidR="00391DB0" w:rsidRPr="00391DB0">
        <w:rPr>
          <w:rFonts w:ascii="ArialUnicodeMS" w:eastAsiaTheme="minorHAnsi" w:hAnsi="ArialUnicodeMS" w:cs="ArialUnicodeMS"/>
          <w:color w:val="404040"/>
          <w:sz w:val="18"/>
          <w:szCs w:val="18"/>
        </w:rPr>
        <w:t xml:space="preserve"> </w:t>
      </w:r>
      <w:r w:rsidR="00391DB0" w:rsidRPr="00391DB0">
        <w:rPr>
          <w:rFonts w:eastAsiaTheme="minorHAnsi" w:cs="ArialUnicodeMS"/>
          <w:sz w:val="18"/>
          <w:szCs w:val="18"/>
        </w:rPr>
        <w:t xml:space="preserve">Tetrahedron </w:t>
      </w:r>
      <w:r w:rsidR="00CE5561">
        <w:rPr>
          <w:rFonts w:eastAsiaTheme="minorHAnsi" w:cs="ArialUnicodeMS"/>
          <w:sz w:val="18"/>
          <w:szCs w:val="18"/>
        </w:rPr>
        <w:t>71:</w:t>
      </w:r>
      <w:r w:rsidR="00391DB0" w:rsidRPr="00391DB0">
        <w:rPr>
          <w:rFonts w:eastAsiaTheme="minorHAnsi" w:cs="ArialUnicodeMS"/>
          <w:sz w:val="18"/>
          <w:szCs w:val="18"/>
        </w:rPr>
        <w:t xml:space="preserve"> 2999-3006</w:t>
      </w:r>
      <w:r w:rsidR="00391DB0">
        <w:rPr>
          <w:rFonts w:eastAsiaTheme="minorHAnsi" w:cs="ArialUnicodeMS"/>
          <w:sz w:val="18"/>
          <w:szCs w:val="18"/>
        </w:rPr>
        <w:t>.</w:t>
      </w:r>
    </w:p>
    <w:p w:rsidR="0009458C" w:rsidRPr="00D91CAD" w:rsidRDefault="0009458C" w:rsidP="00D91CAD">
      <w:pPr>
        <w:pStyle w:val="Paragraphedeliste"/>
        <w:numPr>
          <w:ilvl w:val="0"/>
          <w:numId w:val="3"/>
        </w:numPr>
        <w:tabs>
          <w:tab w:val="left" w:pos="384"/>
        </w:tabs>
        <w:spacing w:line="216" w:lineRule="exact"/>
        <w:ind w:right="138"/>
        <w:rPr>
          <w:sz w:val="18"/>
          <w:szCs w:val="18"/>
        </w:rPr>
      </w:pPr>
      <w:proofErr w:type="spellStart"/>
      <w:r w:rsidRPr="00D91CAD">
        <w:rPr>
          <w:sz w:val="18"/>
          <w:szCs w:val="18"/>
        </w:rPr>
        <w:t>Chira</w:t>
      </w:r>
      <w:proofErr w:type="spellEnd"/>
      <w:r w:rsidRPr="00D91CAD">
        <w:rPr>
          <w:sz w:val="18"/>
          <w:szCs w:val="18"/>
        </w:rPr>
        <w:t xml:space="preserve">, K., </w:t>
      </w:r>
      <w:proofErr w:type="spellStart"/>
      <w:r w:rsidRPr="00D91CAD">
        <w:rPr>
          <w:sz w:val="18"/>
          <w:szCs w:val="18"/>
        </w:rPr>
        <w:t>Teissedre</w:t>
      </w:r>
      <w:proofErr w:type="spellEnd"/>
      <w:r w:rsidRPr="00D91CAD">
        <w:rPr>
          <w:sz w:val="18"/>
          <w:szCs w:val="18"/>
        </w:rPr>
        <w:t>, P.-L.</w:t>
      </w:r>
      <w:r w:rsidR="00D91CAD" w:rsidRPr="00D91CAD">
        <w:rPr>
          <w:sz w:val="18"/>
          <w:szCs w:val="18"/>
        </w:rPr>
        <w:t xml:space="preserve"> </w:t>
      </w:r>
      <w:r w:rsidR="00D91CAD" w:rsidRPr="0009458C">
        <w:rPr>
          <w:sz w:val="18"/>
          <w:szCs w:val="18"/>
        </w:rPr>
        <w:t xml:space="preserve">(2014) </w:t>
      </w:r>
      <w:r w:rsidRPr="00D91CAD">
        <w:rPr>
          <w:sz w:val="18"/>
          <w:szCs w:val="18"/>
        </w:rPr>
        <w:t>Chemical and sensory evaluation of wine matured in oak barrel: effect of oak species involved and</w:t>
      </w:r>
    </w:p>
    <w:p w:rsidR="00D91CAD" w:rsidRPr="00D91CAD" w:rsidRDefault="00D91CAD" w:rsidP="00D91CAD">
      <w:pPr>
        <w:tabs>
          <w:tab w:val="left" w:pos="384"/>
        </w:tabs>
        <w:spacing w:line="216" w:lineRule="exact"/>
        <w:ind w:left="426" w:right="138" w:hanging="327"/>
        <w:rPr>
          <w:sz w:val="18"/>
          <w:szCs w:val="18"/>
        </w:rPr>
      </w:pPr>
      <w:r>
        <w:rPr>
          <w:sz w:val="18"/>
          <w:szCs w:val="18"/>
        </w:rPr>
        <w:t xml:space="preserve">      </w:t>
      </w:r>
      <w:proofErr w:type="gramStart"/>
      <w:r w:rsidR="0009458C" w:rsidRPr="00D91CAD">
        <w:rPr>
          <w:sz w:val="18"/>
          <w:szCs w:val="18"/>
        </w:rPr>
        <w:t>toasting</w:t>
      </w:r>
      <w:proofErr w:type="gramEnd"/>
      <w:r w:rsidR="0009458C" w:rsidRPr="00D91CAD">
        <w:rPr>
          <w:sz w:val="18"/>
          <w:szCs w:val="18"/>
        </w:rPr>
        <w:t xml:space="preserve"> process</w:t>
      </w:r>
      <w:r>
        <w:rPr>
          <w:sz w:val="18"/>
          <w:szCs w:val="18"/>
        </w:rPr>
        <w:t xml:space="preserve">. </w:t>
      </w:r>
      <w:r w:rsidR="0009458C" w:rsidRPr="00D91CAD">
        <w:rPr>
          <w:sz w:val="18"/>
          <w:szCs w:val="18"/>
        </w:rPr>
        <w:t>European Fo</w:t>
      </w:r>
      <w:r>
        <w:rPr>
          <w:sz w:val="18"/>
          <w:szCs w:val="18"/>
        </w:rPr>
        <w:t>od Research and Technology 240:</w:t>
      </w:r>
      <w:r w:rsidRPr="00D91CAD">
        <w:rPr>
          <w:sz w:val="18"/>
          <w:szCs w:val="18"/>
        </w:rPr>
        <w:t>533-547.</w:t>
      </w:r>
    </w:p>
    <w:p w:rsidR="00AE3E37" w:rsidRPr="008756E6" w:rsidRDefault="005973B9" w:rsidP="00553DEE">
      <w:pPr>
        <w:pStyle w:val="Corpsdetexte"/>
        <w:spacing w:before="85" w:line="216" w:lineRule="exact"/>
        <w:ind w:left="383" w:right="138" w:hanging="284"/>
        <w:jc w:val="both"/>
      </w:pPr>
      <w:r w:rsidRPr="00553DEE">
        <w:rPr>
          <w:rFonts w:ascii="Calibri" w:hAnsi="Calibri"/>
        </w:rPr>
        <w:t xml:space="preserve">5. </w:t>
      </w:r>
      <w:r w:rsidR="00936E6C">
        <w:rPr>
          <w:rFonts w:ascii="Calibri" w:hAnsi="Calibri"/>
        </w:rPr>
        <w:t xml:space="preserve"> </w:t>
      </w:r>
      <w:proofErr w:type="spellStart"/>
      <w:r w:rsidR="00553DEE" w:rsidRPr="00553DEE">
        <w:rPr>
          <w:rFonts w:ascii="Calibri" w:hAnsi="Calibri"/>
        </w:rPr>
        <w:t>Chira</w:t>
      </w:r>
      <w:proofErr w:type="spellEnd"/>
      <w:r w:rsidR="00553DEE" w:rsidRPr="00553DEE">
        <w:rPr>
          <w:rFonts w:ascii="Calibri" w:hAnsi="Calibri"/>
        </w:rPr>
        <w:t xml:space="preserve">, K., </w:t>
      </w:r>
      <w:proofErr w:type="spellStart"/>
      <w:r w:rsidR="00553DEE" w:rsidRPr="00553DEE">
        <w:rPr>
          <w:rFonts w:ascii="Calibri" w:hAnsi="Calibri"/>
        </w:rPr>
        <w:t>Teissedre</w:t>
      </w:r>
      <w:proofErr w:type="spellEnd"/>
      <w:r w:rsidR="00553DEE" w:rsidRPr="00553DEE">
        <w:rPr>
          <w:rFonts w:ascii="Calibri" w:hAnsi="Calibri"/>
        </w:rPr>
        <w:t xml:space="preserve">, P.-L. (2013) Extraction of oak volatiles and </w:t>
      </w:r>
      <w:proofErr w:type="spellStart"/>
      <w:r w:rsidR="00553DEE" w:rsidRPr="00553DEE">
        <w:rPr>
          <w:rFonts w:ascii="Calibri" w:hAnsi="Calibri"/>
        </w:rPr>
        <w:t>ellagitannins</w:t>
      </w:r>
      <w:proofErr w:type="spellEnd"/>
      <w:r w:rsidR="00553DEE" w:rsidRPr="00553DEE">
        <w:rPr>
          <w:rFonts w:ascii="Calibri" w:hAnsi="Calibri"/>
        </w:rPr>
        <w:t xml:space="preserve"> compounds and sensory profile of wine aged with French</w:t>
      </w:r>
      <w:r w:rsidR="00553DEE">
        <w:rPr>
          <w:rFonts w:ascii="Calibri" w:hAnsi="Calibri"/>
        </w:rPr>
        <w:t xml:space="preserve"> </w:t>
      </w:r>
      <w:proofErr w:type="spellStart"/>
      <w:r w:rsidR="00553DEE" w:rsidRPr="00553DEE">
        <w:rPr>
          <w:rFonts w:ascii="Calibri" w:hAnsi="Calibri"/>
        </w:rPr>
        <w:t>winewoods</w:t>
      </w:r>
      <w:proofErr w:type="spellEnd"/>
      <w:r w:rsidR="00553DEE" w:rsidRPr="00553DEE">
        <w:rPr>
          <w:rFonts w:ascii="Calibri" w:hAnsi="Calibri"/>
        </w:rPr>
        <w:t xml:space="preserve"> subjected to different toasting methods: </w:t>
      </w:r>
      <w:proofErr w:type="spellStart"/>
      <w:r w:rsidR="00553DEE" w:rsidRPr="00553DEE">
        <w:rPr>
          <w:rFonts w:ascii="Calibri" w:hAnsi="Calibri"/>
        </w:rPr>
        <w:t>Behaviour</w:t>
      </w:r>
      <w:proofErr w:type="spellEnd"/>
      <w:r w:rsidR="00553DEE" w:rsidRPr="00553DEE">
        <w:rPr>
          <w:rFonts w:ascii="Calibri" w:hAnsi="Calibri"/>
        </w:rPr>
        <w:t xml:space="preserve"> during storage</w:t>
      </w:r>
      <w:r w:rsidR="00553DEE">
        <w:rPr>
          <w:rFonts w:ascii="Calibri" w:hAnsi="Calibri"/>
        </w:rPr>
        <w:t xml:space="preserve">. </w:t>
      </w:r>
      <w:r w:rsidR="00553DEE" w:rsidRPr="00553DEE">
        <w:rPr>
          <w:rFonts w:ascii="Calibri" w:hAnsi="Calibri"/>
        </w:rPr>
        <w:t xml:space="preserve">Food Chemistry, </w:t>
      </w:r>
      <w:proofErr w:type="gramStart"/>
      <w:r w:rsidR="00553DEE" w:rsidRPr="00553DEE">
        <w:rPr>
          <w:rFonts w:ascii="Calibri" w:hAnsi="Calibri"/>
        </w:rPr>
        <w:t xml:space="preserve">140 </w:t>
      </w:r>
      <w:r w:rsidR="00553DEE">
        <w:rPr>
          <w:rFonts w:ascii="Calibri" w:hAnsi="Calibri"/>
        </w:rPr>
        <w:t>:</w:t>
      </w:r>
      <w:proofErr w:type="gramEnd"/>
      <w:r w:rsidR="00553DEE">
        <w:rPr>
          <w:rFonts w:ascii="Calibri" w:hAnsi="Calibri"/>
        </w:rPr>
        <w:t xml:space="preserve"> </w:t>
      </w:r>
      <w:r w:rsidR="00553DEE" w:rsidRPr="00553DEE">
        <w:rPr>
          <w:rFonts w:ascii="Calibri" w:hAnsi="Calibri"/>
        </w:rPr>
        <w:t xml:space="preserve">168-177.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5C676308" wp14:editId="054F024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753E3" w:rsidRPr="00B753E3">
        <w:rPr>
          <w:noProof/>
          <w:lang w:val="fr-FR" w:eastAsia="fr-FR"/>
        </w:rPr>
        <w:drawing>
          <wp:inline distT="0" distB="0" distL="0" distR="0" wp14:anchorId="3660CD98" wp14:editId="3ABC1FE7">
            <wp:extent cx="471600" cy="417600"/>
            <wp:effectExtent l="7937"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t="8107" r="33370" b="12847"/>
                    <a:stretch/>
                  </pic:blipFill>
                  <pic:spPr bwMode="auto">
                    <a:xfrm rot="5400000">
                      <a:off x="0" y="0"/>
                      <a:ext cx="471600" cy="4176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C80618" w:rsidP="00694711">
      <w:pPr>
        <w:spacing w:before="41" w:line="154" w:lineRule="exact"/>
        <w:ind w:left="213" w:right="231"/>
        <w:jc w:val="both"/>
        <w:rPr>
          <w:rFonts w:ascii="Arial"/>
          <w:sz w:val="14"/>
        </w:rPr>
      </w:pPr>
      <w:proofErr w:type="spellStart"/>
      <w:r>
        <w:rPr>
          <w:rFonts w:ascii="Arial"/>
          <w:sz w:val="14"/>
        </w:rPr>
        <w:t>Kleopatra</w:t>
      </w:r>
      <w:proofErr w:type="spellEnd"/>
      <w:r>
        <w:rPr>
          <w:rFonts w:ascii="Arial"/>
          <w:sz w:val="14"/>
        </w:rPr>
        <w:t xml:space="preserve"> </w:t>
      </w:r>
      <w:proofErr w:type="spellStart"/>
      <w:r>
        <w:rPr>
          <w:rFonts w:ascii="Arial"/>
          <w:sz w:val="14"/>
        </w:rPr>
        <w:t>Chira</w:t>
      </w:r>
      <w:proofErr w:type="spellEnd"/>
      <w:r>
        <w:rPr>
          <w:rFonts w:ascii="Arial"/>
          <w:sz w:val="14"/>
        </w:rPr>
        <w:t xml:space="preserve"> </w:t>
      </w:r>
      <w:r w:rsidR="00694711">
        <w:rPr>
          <w:rFonts w:ascii="Arial"/>
          <w:sz w:val="14"/>
        </w:rPr>
        <w:t xml:space="preserve">realized her first studies as an Agricultural Engineer in Greece; in 2004 she went to Bordeaux in France in order to obtain the National Diploma of Oenology. She continued with a Master degree as well and a PhD in Viticulture-Oenology. She works as a Research Scientist in the </w:t>
      </w:r>
      <w:proofErr w:type="spellStart"/>
      <w:r w:rsidR="00694711">
        <w:rPr>
          <w:rFonts w:ascii="Arial"/>
          <w:sz w:val="14"/>
        </w:rPr>
        <w:t>Institut</w:t>
      </w:r>
      <w:proofErr w:type="spellEnd"/>
      <w:r w:rsidR="00694711">
        <w:rPr>
          <w:rFonts w:ascii="Arial"/>
          <w:sz w:val="14"/>
        </w:rPr>
        <w:t xml:space="preserve"> of wine and vine in Bordeaux </w:t>
      </w:r>
      <w:r w:rsidR="00936E6C">
        <w:rPr>
          <w:rFonts w:ascii="Arial"/>
          <w:sz w:val="14"/>
        </w:rPr>
        <w:t xml:space="preserve">for </w:t>
      </w:r>
      <w:proofErr w:type="spellStart"/>
      <w:r w:rsidR="00936E6C">
        <w:rPr>
          <w:rFonts w:ascii="Arial"/>
          <w:sz w:val="14"/>
        </w:rPr>
        <w:t>Nadalie</w:t>
      </w:r>
      <w:proofErr w:type="spellEnd"/>
      <w:r w:rsidR="00936E6C">
        <w:rPr>
          <w:rFonts w:ascii="Arial"/>
          <w:sz w:val="14"/>
        </w:rPr>
        <w:t xml:space="preserve"> cooperage.</w:t>
      </w:r>
    </w:p>
    <w:p w:rsidR="00AE3E37" w:rsidRDefault="003F175B" w:rsidP="003F175B">
      <w:pPr>
        <w:spacing w:before="62"/>
        <w:ind w:right="2752"/>
        <w:jc w:val="center"/>
        <w:rPr>
          <w:rFonts w:ascii="Arial"/>
          <w:sz w:val="14"/>
        </w:rPr>
      </w:pPr>
      <w:r>
        <w:rPr>
          <w:rFonts w:ascii="Arial"/>
          <w:sz w:val="14"/>
        </w:rPr>
        <w:t xml:space="preserve">                                                   </w:t>
      </w:r>
      <w:r w:rsidR="00C80618">
        <w:rPr>
          <w:rFonts w:ascii="Arial"/>
          <w:sz w:val="14"/>
        </w:rPr>
        <w:t xml:space="preserve">                               </w:t>
      </w:r>
      <w:r>
        <w:rPr>
          <w:rFonts w:ascii="Arial"/>
          <w:sz w:val="14"/>
        </w:rPr>
        <w:t xml:space="preserve"> </w:t>
      </w:r>
      <w:r w:rsidR="00A9710C">
        <w:rPr>
          <w:rFonts w:ascii="Arial"/>
          <w:sz w:val="14"/>
        </w:rPr>
        <w:t xml:space="preserve">Email: </w:t>
      </w:r>
      <w:hyperlink r:id="rId12" w:history="1">
        <w:r w:rsidR="00C80618" w:rsidRPr="00EE7B39">
          <w:rPr>
            <w:rStyle w:val="Lienhypertexte"/>
            <w:rFonts w:ascii="Arial"/>
            <w:sz w:val="14"/>
          </w:rPr>
          <w:t>kleopatra.chira@u-bordeaux.com</w:t>
        </w:r>
      </w:hyperlink>
      <w:r>
        <w:rPr>
          <w:rStyle w:val="Lienhypertexte"/>
          <w:rFonts w:ascii="Arial"/>
          <w:sz w:val="14"/>
        </w:rPr>
        <w:t xml:space="preserve"> </w:t>
      </w:r>
      <w:r w:rsidRPr="003F175B">
        <w:rPr>
          <w:rStyle w:val="Lienhypertexte"/>
          <w:rFonts w:ascii="Arial"/>
          <w:sz w:val="14"/>
          <w:u w:val="none"/>
        </w:rPr>
        <w:t xml:space="preserve">    </w:t>
      </w:r>
      <w:r w:rsidRPr="00364417">
        <w:rPr>
          <w:rStyle w:val="Lienhypertexte"/>
          <w:rFonts w:ascii="Arial"/>
          <w:color w:val="auto"/>
          <w:sz w:val="14"/>
          <w:u w:val="none"/>
        </w:rPr>
        <w:t>Contact No</w:t>
      </w:r>
      <w:r w:rsidRPr="003F175B">
        <w:rPr>
          <w:rStyle w:val="Lienhypertexte"/>
          <w:rFonts w:ascii="Arial"/>
          <w:sz w:val="14"/>
          <w:u w:val="none"/>
        </w:rPr>
        <w:t xml:space="preserve">: </w:t>
      </w:r>
      <w:r w:rsidR="00C80618">
        <w:rPr>
          <w:rStyle w:val="Lienhypertexte"/>
          <w:rFonts w:ascii="Arial"/>
          <w:sz w:val="14"/>
          <w:u w:val="none"/>
        </w:rPr>
        <w:t>+33(0)5 57 57 58</w:t>
      </w:r>
      <w:r w:rsidR="00C80618" w:rsidRPr="00C80618">
        <w:rPr>
          <w:rStyle w:val="Lienhypertexte"/>
          <w:rFonts w:ascii="Arial"/>
          <w:sz w:val="14"/>
          <w:u w:val="none"/>
        </w:rPr>
        <w:t>88</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bookmarkStart w:id="0" w:name="_GoBack"/>
      <w:bookmarkEnd w:id="0"/>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4AD" w:rsidRDefault="002544AD">
      <w:r>
        <w:separator/>
      </w:r>
    </w:p>
  </w:endnote>
  <w:endnote w:type="continuationSeparator" w:id="0">
    <w:p w:rsidR="002544AD" w:rsidRDefault="0025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Unicode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4AD" w:rsidRDefault="002544AD">
      <w:r>
        <w:separator/>
      </w:r>
    </w:p>
  </w:footnote>
  <w:footnote w:type="continuationSeparator" w:id="0">
    <w:p w:rsidR="002544AD" w:rsidRDefault="002544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24772" w:rsidRDefault="00A9710C">
                          <w:pPr>
                            <w:spacing w:before="2" w:line="249" w:lineRule="auto"/>
                            <w:ind w:left="156" w:right="18" w:hanging="137"/>
                            <w:rPr>
                              <w:rFonts w:ascii="Arial"/>
                              <w:color w:val="FFFFFF" w:themeColor="background1"/>
                              <w:sz w:val="14"/>
                              <w:lang w:val="fr-FR"/>
                            </w:rPr>
                          </w:pPr>
                          <w:r w:rsidRPr="00824772">
                            <w:rPr>
                              <w:rFonts w:ascii="Arial"/>
                              <w:color w:val="FFFFFF" w:themeColor="background1"/>
                              <w:sz w:val="14"/>
                              <w:lang w:val="fr-FR"/>
                            </w:rPr>
                            <w:t xml:space="preserve">T Furuta et </w:t>
                          </w:r>
                          <w:proofErr w:type="gramStart"/>
                          <w:r w:rsidRPr="00824772">
                            <w:rPr>
                              <w:rFonts w:ascii="Arial"/>
                              <w:color w:val="FFFFFF" w:themeColor="background1"/>
                              <w:sz w:val="14"/>
                              <w:lang w:val="fr-FR"/>
                            </w:rPr>
                            <w:t>al.,</w:t>
                          </w:r>
                          <w:proofErr w:type="gramEnd"/>
                          <w:r w:rsidRPr="00824772">
                            <w:rPr>
                              <w:rFonts w:ascii="Arial"/>
                              <w:color w:val="FFFFFF" w:themeColor="background1"/>
                              <w:sz w:val="14"/>
                              <w:lang w:val="fr-FR"/>
                            </w:rPr>
                            <w:t xml:space="preserve"> J Pai n Relief 2016, 5:3(</w:t>
                          </w:r>
                          <w:proofErr w:type="spellStart"/>
                          <w:r w:rsidRPr="00824772">
                            <w:rPr>
                              <w:rFonts w:ascii="Arial"/>
                              <w:color w:val="FFFFFF" w:themeColor="background1"/>
                              <w:sz w:val="14"/>
                              <w:lang w:val="fr-FR"/>
                            </w:rPr>
                            <w:t>Suppl</w:t>
                          </w:r>
                          <w:proofErr w:type="spellEnd"/>
                          <w:r w:rsidRPr="00824772">
                            <w:rPr>
                              <w:rFonts w:ascii="Arial"/>
                              <w:color w:val="FFFFFF" w:themeColor="background1"/>
                              <w:sz w:val="14"/>
                              <w:lang w:val="fr-FR"/>
                            </w:rPr>
                            <w:t xml:space="preserve">) </w:t>
                          </w:r>
                          <w:hyperlink r:id="rId1">
                            <w:r w:rsidRPr="00824772">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24772" w:rsidRDefault="00A9710C">
                    <w:pPr>
                      <w:spacing w:before="2" w:line="249" w:lineRule="auto"/>
                      <w:ind w:left="156" w:right="18" w:hanging="137"/>
                      <w:rPr>
                        <w:rFonts w:ascii="Arial"/>
                        <w:color w:val="FFFFFF" w:themeColor="background1"/>
                        <w:sz w:val="14"/>
                        <w:lang w:val="fr-FR"/>
                      </w:rPr>
                    </w:pPr>
                    <w:r w:rsidRPr="00824772">
                      <w:rPr>
                        <w:rFonts w:ascii="Arial"/>
                        <w:color w:val="FFFFFF" w:themeColor="background1"/>
                        <w:sz w:val="14"/>
                        <w:lang w:val="fr-FR"/>
                      </w:rPr>
                      <w:t xml:space="preserve">T Furuta et al., J Pai n Relief 2016, 5:3(Suppl) </w:t>
                    </w:r>
                    <w:r w:rsidR="00ED7E71">
                      <w:fldChar w:fldCharType="begin"/>
                    </w:r>
                    <w:r w:rsidR="00ED7E71" w:rsidRPr="00824772">
                      <w:rPr>
                        <w:lang w:val="fr-FR"/>
                      </w:rPr>
                      <w:instrText xml:space="preserve"> HYPERLINK "http://dx.doi.org/10.4172/2167-0846.C1.006" \h </w:instrText>
                    </w:r>
                    <w:r w:rsidR="00ED7E71">
                      <w:fldChar w:fldCharType="separate"/>
                    </w:r>
                    <w:r w:rsidRPr="00824772">
                      <w:rPr>
                        <w:rFonts w:ascii="Arial"/>
                        <w:color w:val="FFFFFF" w:themeColor="background1"/>
                        <w:sz w:val="14"/>
                        <w:lang w:val="fr-FR"/>
                      </w:rPr>
                      <w:t>http://dx.doi.org/10.4172/2167-0846.C1.006</w:t>
                    </w:r>
                    <w:r w:rsidR="00ED7E71">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B575B"/>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EAF"/>
    <w:rsid w:val="0009458C"/>
    <w:rsid w:val="000E2911"/>
    <w:rsid w:val="001263DF"/>
    <w:rsid w:val="002544AD"/>
    <w:rsid w:val="00292ED9"/>
    <w:rsid w:val="00293736"/>
    <w:rsid w:val="00364417"/>
    <w:rsid w:val="00391DB0"/>
    <w:rsid w:val="003F1348"/>
    <w:rsid w:val="003F175B"/>
    <w:rsid w:val="00404E5B"/>
    <w:rsid w:val="00414F7B"/>
    <w:rsid w:val="004355DC"/>
    <w:rsid w:val="004749B4"/>
    <w:rsid w:val="00494130"/>
    <w:rsid w:val="004A1F58"/>
    <w:rsid w:val="004F3523"/>
    <w:rsid w:val="005124D1"/>
    <w:rsid w:val="00553DEE"/>
    <w:rsid w:val="005973B9"/>
    <w:rsid w:val="005B3A56"/>
    <w:rsid w:val="006060CE"/>
    <w:rsid w:val="006136E2"/>
    <w:rsid w:val="0063497F"/>
    <w:rsid w:val="00694711"/>
    <w:rsid w:val="00773CB2"/>
    <w:rsid w:val="00824772"/>
    <w:rsid w:val="00873DF0"/>
    <w:rsid w:val="008756E6"/>
    <w:rsid w:val="00936E6C"/>
    <w:rsid w:val="009B2D44"/>
    <w:rsid w:val="00A07E82"/>
    <w:rsid w:val="00A9710C"/>
    <w:rsid w:val="00AE3E37"/>
    <w:rsid w:val="00B21A57"/>
    <w:rsid w:val="00B753E3"/>
    <w:rsid w:val="00C33602"/>
    <w:rsid w:val="00C80618"/>
    <w:rsid w:val="00CD6F55"/>
    <w:rsid w:val="00CE5561"/>
    <w:rsid w:val="00D91CAD"/>
    <w:rsid w:val="00DE3104"/>
    <w:rsid w:val="00ED7E71"/>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leopatra.chira@u-bordeau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3494</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kléo</cp:lastModifiedBy>
  <cp:revision>2</cp:revision>
  <dcterms:created xsi:type="dcterms:W3CDTF">2017-08-30T13:42:00Z</dcterms:created>
  <dcterms:modified xsi:type="dcterms:W3CDTF">2017-08-30T13:42:00Z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