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7F6" w:rsidRPr="004636D7" w:rsidRDefault="00144FA7" w:rsidP="004636D7">
      <w:pPr>
        <w:spacing w:line="360" w:lineRule="auto"/>
        <w:jc w:val="center"/>
        <w:rPr>
          <w:rFonts w:ascii="Times New Roman"/>
          <w:b/>
          <w:sz w:val="26"/>
          <w:szCs w:val="26"/>
          <w:lang w:val="en-ZA"/>
        </w:rPr>
      </w:pPr>
      <w:r w:rsidRPr="004636D7">
        <w:rPr>
          <w:rFonts w:ascii="Times New Roman"/>
          <w:b/>
          <w:sz w:val="26"/>
          <w:szCs w:val="26"/>
          <w:lang w:val="en-ZA"/>
        </w:rPr>
        <w:t xml:space="preserve">Market risk perceptions in smallholder </w:t>
      </w:r>
      <w:r w:rsidR="00F105F2" w:rsidRPr="004636D7">
        <w:rPr>
          <w:rFonts w:ascii="Times New Roman"/>
          <w:b/>
          <w:sz w:val="26"/>
          <w:szCs w:val="26"/>
          <w:lang w:val="en-ZA"/>
        </w:rPr>
        <w:t>maize production</w:t>
      </w:r>
      <w:r w:rsidRPr="004636D7">
        <w:rPr>
          <w:rFonts w:ascii="Times New Roman"/>
          <w:b/>
          <w:sz w:val="26"/>
          <w:szCs w:val="26"/>
          <w:lang w:val="en-ZA"/>
        </w:rPr>
        <w:t xml:space="preserve"> comm</w:t>
      </w:r>
      <w:r w:rsidR="00F105F2" w:rsidRPr="004636D7">
        <w:rPr>
          <w:rFonts w:ascii="Times New Roman"/>
          <w:b/>
          <w:sz w:val="26"/>
          <w:szCs w:val="26"/>
          <w:lang w:val="en-ZA"/>
        </w:rPr>
        <w:t xml:space="preserve">ercialisation: Implications for </w:t>
      </w:r>
      <w:r w:rsidR="00954E7C">
        <w:rPr>
          <w:rFonts w:ascii="Times New Roman"/>
          <w:b/>
          <w:sz w:val="26"/>
          <w:szCs w:val="26"/>
          <w:lang w:val="en-ZA"/>
        </w:rPr>
        <w:t xml:space="preserve">rural </w:t>
      </w:r>
      <w:r w:rsidR="004636D7">
        <w:rPr>
          <w:rFonts w:ascii="Times New Roman"/>
          <w:b/>
          <w:sz w:val="26"/>
          <w:szCs w:val="26"/>
          <w:lang w:val="en-ZA"/>
        </w:rPr>
        <w:t xml:space="preserve">agricultural </w:t>
      </w:r>
      <w:r w:rsidR="00164DEF">
        <w:rPr>
          <w:rFonts w:ascii="Times New Roman"/>
          <w:b/>
          <w:sz w:val="26"/>
          <w:szCs w:val="26"/>
          <w:lang w:val="en-ZA"/>
        </w:rPr>
        <w:t xml:space="preserve">and </w:t>
      </w:r>
      <w:r w:rsidR="004636D7">
        <w:rPr>
          <w:rFonts w:ascii="Times New Roman"/>
          <w:b/>
          <w:sz w:val="26"/>
          <w:szCs w:val="26"/>
          <w:lang w:val="en-ZA"/>
        </w:rPr>
        <w:t>marketing infrastructure development</w:t>
      </w:r>
      <w:r w:rsidR="00164DEF">
        <w:rPr>
          <w:rFonts w:ascii="Times New Roman"/>
          <w:b/>
          <w:sz w:val="26"/>
          <w:szCs w:val="26"/>
          <w:lang w:val="en-ZA"/>
        </w:rPr>
        <w:t xml:space="preserve"> in the Eastern Cape </w:t>
      </w:r>
    </w:p>
    <w:p w:rsidR="004636D7" w:rsidRPr="00271EB1" w:rsidRDefault="004636D7" w:rsidP="00271EB1">
      <w:pPr>
        <w:spacing w:before="240" w:line="240" w:lineRule="auto"/>
        <w:jc w:val="center"/>
        <w:rPr>
          <w:rFonts w:ascii="Times New Roman"/>
          <w:sz w:val="28"/>
          <w:szCs w:val="28"/>
        </w:rPr>
      </w:pPr>
      <w:r w:rsidRPr="00271EB1">
        <w:rPr>
          <w:rFonts w:ascii="Times New Roman"/>
          <w:sz w:val="28"/>
          <w:szCs w:val="28"/>
        </w:rPr>
        <w:t>Ngwenya S</w:t>
      </w:r>
      <w:r w:rsidRPr="00271EB1">
        <w:rPr>
          <w:rFonts w:ascii="Times New Roman"/>
          <w:sz w:val="28"/>
          <w:szCs w:val="28"/>
          <w:vertAlign w:val="superscript"/>
        </w:rPr>
        <w:t>1</w:t>
      </w:r>
      <w:r w:rsidRPr="00271EB1">
        <w:rPr>
          <w:rFonts w:ascii="Times New Roman"/>
          <w:sz w:val="28"/>
          <w:szCs w:val="28"/>
        </w:rPr>
        <w:t xml:space="preserve">, </w:t>
      </w:r>
      <w:r w:rsidR="00271EB1" w:rsidRPr="00271EB1">
        <w:rPr>
          <w:rFonts w:ascii="Times New Roman"/>
          <w:sz w:val="28"/>
          <w:szCs w:val="28"/>
        </w:rPr>
        <w:t>Mujuru N</w:t>
      </w:r>
      <w:r w:rsidR="00271EB1" w:rsidRPr="00271EB1">
        <w:rPr>
          <w:rFonts w:ascii="Times New Roman"/>
          <w:sz w:val="28"/>
          <w:szCs w:val="28"/>
          <w:vertAlign w:val="superscript"/>
        </w:rPr>
        <w:t>1</w:t>
      </w:r>
      <w:r w:rsidR="00271EB1" w:rsidRPr="00271EB1">
        <w:rPr>
          <w:rFonts w:ascii="Times New Roman"/>
          <w:sz w:val="28"/>
          <w:szCs w:val="28"/>
        </w:rPr>
        <w:t xml:space="preserve">, </w:t>
      </w:r>
      <w:r w:rsidRPr="00271EB1">
        <w:rPr>
          <w:rFonts w:ascii="Times New Roman"/>
          <w:sz w:val="28"/>
          <w:szCs w:val="28"/>
        </w:rPr>
        <w:t>Mushunje A</w:t>
      </w:r>
      <w:r w:rsidRPr="00271EB1">
        <w:rPr>
          <w:rFonts w:ascii="Times New Roman"/>
          <w:sz w:val="28"/>
          <w:szCs w:val="28"/>
          <w:vertAlign w:val="superscript"/>
        </w:rPr>
        <w:t>1</w:t>
      </w:r>
      <w:r w:rsidRPr="00271EB1">
        <w:rPr>
          <w:rFonts w:ascii="Times New Roman"/>
          <w:sz w:val="28"/>
          <w:szCs w:val="28"/>
        </w:rPr>
        <w:t xml:space="preserve"> and Zhou L</w:t>
      </w:r>
      <w:r w:rsidRPr="00271EB1">
        <w:rPr>
          <w:rFonts w:ascii="Times New Roman"/>
          <w:sz w:val="28"/>
          <w:szCs w:val="28"/>
          <w:vertAlign w:val="superscript"/>
        </w:rPr>
        <w:t>2</w:t>
      </w:r>
    </w:p>
    <w:p w:rsidR="00CC3DA6" w:rsidRDefault="004636D7" w:rsidP="00A87734">
      <w:pPr>
        <w:spacing w:after="0" w:line="240" w:lineRule="auto"/>
        <w:jc w:val="center"/>
        <w:rPr>
          <w:rFonts w:ascii="Times New Roman"/>
          <w:sz w:val="20"/>
          <w:szCs w:val="20"/>
        </w:rPr>
      </w:pPr>
      <w:r w:rsidRPr="00271EB1">
        <w:rPr>
          <w:rFonts w:ascii="Times New Roman"/>
          <w:sz w:val="20"/>
          <w:szCs w:val="20"/>
          <w:vertAlign w:val="superscript"/>
        </w:rPr>
        <w:t>1</w:t>
      </w:r>
      <w:r w:rsidRPr="00271EB1">
        <w:rPr>
          <w:rFonts w:ascii="Times New Roman"/>
          <w:sz w:val="20"/>
          <w:szCs w:val="20"/>
        </w:rPr>
        <w:t>Department of Agriculture Economics &amp; Extension; University of Fort Hare.</w:t>
      </w:r>
    </w:p>
    <w:p w:rsidR="004636D7" w:rsidRDefault="00A87734" w:rsidP="00A87734">
      <w:pPr>
        <w:spacing w:after="0" w:line="240" w:lineRule="auto"/>
        <w:jc w:val="center"/>
        <w:rPr>
          <w:rFonts w:ascii="Times New Roman"/>
          <w:sz w:val="24"/>
          <w:szCs w:val="24"/>
        </w:rPr>
      </w:pPr>
      <w:r>
        <w:rPr>
          <w:rFonts w:ascii="Times New Roman"/>
          <w:sz w:val="20"/>
          <w:szCs w:val="20"/>
        </w:rPr>
        <w:t xml:space="preserve"> </w:t>
      </w:r>
      <w:r w:rsidR="004636D7" w:rsidRPr="00271EB1">
        <w:rPr>
          <w:rFonts w:ascii="Times New Roman"/>
          <w:sz w:val="20"/>
          <w:szCs w:val="20"/>
          <w:vertAlign w:val="superscript"/>
        </w:rPr>
        <w:t>2</w:t>
      </w:r>
      <w:r w:rsidR="004636D7" w:rsidRPr="00271EB1">
        <w:rPr>
          <w:rFonts w:ascii="Times New Roman"/>
          <w:sz w:val="20"/>
          <w:szCs w:val="20"/>
        </w:rPr>
        <w:t xml:space="preserve"> Risk and Vulnerability Science Centre; University of Fort Hare</w:t>
      </w:r>
      <w:r w:rsidR="004636D7" w:rsidRPr="00F64F29">
        <w:rPr>
          <w:rFonts w:ascii="Times New Roman"/>
          <w:sz w:val="24"/>
          <w:szCs w:val="24"/>
        </w:rPr>
        <w:t>.</w:t>
      </w:r>
    </w:p>
    <w:p w:rsidR="00CC3DA6" w:rsidRPr="00CC3DA6" w:rsidRDefault="00CC3DA6" w:rsidP="00CC3DA6">
      <w:pPr>
        <w:spacing w:after="0" w:line="240" w:lineRule="auto"/>
        <w:rPr>
          <w:rFonts w:ascii="Times New Roman"/>
          <w:b/>
          <w:i/>
          <w:sz w:val="24"/>
          <w:szCs w:val="24"/>
        </w:rPr>
      </w:pPr>
      <w:r w:rsidRPr="00CC3DA6">
        <w:rPr>
          <w:rFonts w:ascii="Times New Roman"/>
          <w:b/>
          <w:i/>
          <w:sz w:val="24"/>
          <w:szCs w:val="24"/>
        </w:rPr>
        <w:t>Abstract</w:t>
      </w:r>
    </w:p>
    <w:p w:rsidR="00F105F2" w:rsidRPr="009C19D1" w:rsidRDefault="00F105F2" w:rsidP="00662AF3">
      <w:pPr>
        <w:spacing w:before="240" w:line="360" w:lineRule="auto"/>
        <w:jc w:val="both"/>
        <w:rPr>
          <w:rFonts w:ascii="Times New Roman"/>
          <w:sz w:val="24"/>
          <w:szCs w:val="24"/>
        </w:rPr>
      </w:pPr>
      <w:r w:rsidRPr="00976AE1">
        <w:rPr>
          <w:rFonts w:ascii="Times New Roman"/>
          <w:sz w:val="24"/>
          <w:szCs w:val="24"/>
        </w:rPr>
        <w:t xml:space="preserve">South African </w:t>
      </w:r>
      <w:r>
        <w:rPr>
          <w:rFonts w:ascii="Times New Roman"/>
          <w:sz w:val="24"/>
          <w:szCs w:val="24"/>
        </w:rPr>
        <w:t>government</w:t>
      </w:r>
      <w:r w:rsidRPr="00976AE1">
        <w:rPr>
          <w:rFonts w:ascii="Times New Roman"/>
          <w:sz w:val="24"/>
          <w:szCs w:val="24"/>
        </w:rPr>
        <w:t xml:space="preserve"> policies</w:t>
      </w:r>
      <w:r>
        <w:rPr>
          <w:rFonts w:ascii="Times New Roman"/>
          <w:sz w:val="24"/>
          <w:szCs w:val="24"/>
        </w:rPr>
        <w:t xml:space="preserve"> </w:t>
      </w:r>
      <w:r w:rsidRPr="00976AE1">
        <w:rPr>
          <w:rFonts w:ascii="Times New Roman"/>
          <w:sz w:val="24"/>
          <w:szCs w:val="24"/>
        </w:rPr>
        <w:t xml:space="preserve">such as </w:t>
      </w:r>
      <w:r w:rsidR="00111E26">
        <w:rPr>
          <w:rFonts w:ascii="Times New Roman"/>
          <w:sz w:val="24"/>
          <w:szCs w:val="24"/>
        </w:rPr>
        <w:t>N</w:t>
      </w:r>
      <w:r w:rsidRPr="00976AE1">
        <w:rPr>
          <w:rFonts w:ascii="Times New Roman"/>
          <w:sz w:val="24"/>
          <w:szCs w:val="24"/>
        </w:rPr>
        <w:t>ational Development Plan 2030 (NDP - 2030) of 2013 still place</w:t>
      </w:r>
      <w:r w:rsidR="00CC3DA6">
        <w:rPr>
          <w:rFonts w:ascii="Times New Roman"/>
          <w:sz w:val="24"/>
          <w:szCs w:val="24"/>
        </w:rPr>
        <w:t xml:space="preserve"> the</w:t>
      </w:r>
      <w:r w:rsidRPr="00976AE1">
        <w:rPr>
          <w:rFonts w:ascii="Times New Roman"/>
          <w:sz w:val="24"/>
          <w:szCs w:val="24"/>
        </w:rPr>
        <w:t xml:space="preserve"> </w:t>
      </w:r>
      <w:r w:rsidRPr="00CC3DA6">
        <w:rPr>
          <w:rFonts w:ascii="Times New Roman"/>
          <w:noProof/>
          <w:sz w:val="24"/>
          <w:szCs w:val="24"/>
        </w:rPr>
        <w:t>development</w:t>
      </w:r>
      <w:r w:rsidRPr="00976AE1">
        <w:rPr>
          <w:rFonts w:ascii="Times New Roman"/>
          <w:sz w:val="24"/>
          <w:szCs w:val="24"/>
        </w:rPr>
        <w:t xml:space="preserve"> </w:t>
      </w:r>
      <w:r>
        <w:rPr>
          <w:rFonts w:ascii="Times New Roman"/>
          <w:sz w:val="24"/>
          <w:szCs w:val="24"/>
        </w:rPr>
        <w:t>of</w:t>
      </w:r>
      <w:r w:rsidRPr="00976AE1">
        <w:rPr>
          <w:rFonts w:ascii="Times New Roman"/>
          <w:sz w:val="24"/>
          <w:szCs w:val="24"/>
        </w:rPr>
        <w:t xml:space="preserve"> smallholder </w:t>
      </w:r>
      <w:r>
        <w:rPr>
          <w:rFonts w:ascii="Times New Roman"/>
          <w:sz w:val="24"/>
          <w:szCs w:val="24"/>
        </w:rPr>
        <w:t>commercial agriculture</w:t>
      </w:r>
      <w:r w:rsidRPr="00976AE1">
        <w:rPr>
          <w:rFonts w:ascii="Times New Roman"/>
          <w:sz w:val="24"/>
          <w:szCs w:val="24"/>
        </w:rPr>
        <w:t xml:space="preserve"> in the heart of </w:t>
      </w:r>
      <w:r>
        <w:rPr>
          <w:rFonts w:ascii="Times New Roman"/>
          <w:sz w:val="24"/>
          <w:szCs w:val="24"/>
        </w:rPr>
        <w:t>solving the tripartite challenges of poverty, inequality and unemployment</w:t>
      </w:r>
      <w:r w:rsidRPr="00976AE1">
        <w:rPr>
          <w:rFonts w:ascii="Times New Roman"/>
          <w:sz w:val="24"/>
          <w:szCs w:val="24"/>
        </w:rPr>
        <w:t xml:space="preserve">. </w:t>
      </w:r>
      <w:r w:rsidR="0008185A">
        <w:rPr>
          <w:rFonts w:ascii="Times New Roman"/>
          <w:sz w:val="24"/>
          <w:szCs w:val="24"/>
        </w:rPr>
        <w:t xml:space="preserve">Under these </w:t>
      </w:r>
      <w:r w:rsidR="0008185A" w:rsidRPr="00CC3DA6">
        <w:rPr>
          <w:rFonts w:ascii="Times New Roman"/>
          <w:noProof/>
          <w:sz w:val="24"/>
          <w:szCs w:val="24"/>
        </w:rPr>
        <w:t>policies</w:t>
      </w:r>
      <w:r w:rsidR="00CC3DA6">
        <w:rPr>
          <w:rFonts w:ascii="Times New Roman"/>
          <w:noProof/>
          <w:sz w:val="24"/>
          <w:szCs w:val="24"/>
        </w:rPr>
        <w:t>,</w:t>
      </w:r>
      <w:r w:rsidR="00CE1938">
        <w:rPr>
          <w:rFonts w:ascii="Times New Roman"/>
          <w:noProof/>
          <w:sz w:val="24"/>
          <w:szCs w:val="24"/>
        </w:rPr>
        <w:t xml:space="preserve"> the</w:t>
      </w:r>
      <w:r w:rsidR="0008185A">
        <w:rPr>
          <w:rFonts w:ascii="Times New Roman"/>
          <w:sz w:val="24"/>
          <w:szCs w:val="24"/>
        </w:rPr>
        <w:t xml:space="preserve"> </w:t>
      </w:r>
      <w:r w:rsidRPr="00CE1938">
        <w:rPr>
          <w:rFonts w:ascii="Times New Roman"/>
          <w:noProof/>
          <w:sz w:val="24"/>
          <w:szCs w:val="24"/>
        </w:rPr>
        <w:t>government</w:t>
      </w:r>
      <w:r w:rsidRPr="00976AE1">
        <w:rPr>
          <w:rFonts w:ascii="Times New Roman"/>
          <w:sz w:val="24"/>
          <w:szCs w:val="24"/>
        </w:rPr>
        <w:t xml:space="preserve"> has launched agricultural </w:t>
      </w:r>
      <w:r>
        <w:rPr>
          <w:rFonts w:ascii="Times New Roman"/>
          <w:sz w:val="24"/>
          <w:szCs w:val="24"/>
        </w:rPr>
        <w:t xml:space="preserve">infrastructural </w:t>
      </w:r>
      <w:r w:rsidRPr="00976AE1">
        <w:rPr>
          <w:rFonts w:ascii="Times New Roman"/>
          <w:sz w:val="24"/>
          <w:szCs w:val="24"/>
        </w:rPr>
        <w:t>development programmes targeted at unlocking Eastern Cape Province enormous potential for commercialised poverty r</w:t>
      </w:r>
      <w:r>
        <w:rPr>
          <w:rFonts w:ascii="Times New Roman"/>
          <w:sz w:val="24"/>
          <w:szCs w:val="24"/>
        </w:rPr>
        <w:t>educing smallholder agriculture</w:t>
      </w:r>
      <w:r>
        <w:rPr>
          <w:rFonts w:ascii="Times New Roman"/>
          <w:sz w:val="24"/>
          <w:szCs w:val="24"/>
        </w:rPr>
        <w:t xml:space="preserve">. </w:t>
      </w:r>
      <w:r w:rsidRPr="00976AE1">
        <w:rPr>
          <w:rFonts w:ascii="Times New Roman"/>
          <w:sz w:val="24"/>
          <w:szCs w:val="24"/>
        </w:rPr>
        <w:t>Despite all external top-bottom approach support of agriculture by</w:t>
      </w:r>
      <w:r w:rsidR="00CC3DA6">
        <w:rPr>
          <w:rFonts w:ascii="Times New Roman"/>
          <w:sz w:val="24"/>
          <w:szCs w:val="24"/>
        </w:rPr>
        <w:t xml:space="preserve"> the</w:t>
      </w:r>
      <w:r w:rsidRPr="00976AE1">
        <w:rPr>
          <w:rFonts w:ascii="Times New Roman"/>
          <w:sz w:val="24"/>
          <w:szCs w:val="24"/>
        </w:rPr>
        <w:t xml:space="preserve"> </w:t>
      </w:r>
      <w:r w:rsidRPr="00CC3DA6">
        <w:rPr>
          <w:rFonts w:ascii="Times New Roman"/>
          <w:noProof/>
          <w:sz w:val="24"/>
          <w:szCs w:val="24"/>
        </w:rPr>
        <w:t>government</w:t>
      </w:r>
      <w:r w:rsidRPr="00976AE1">
        <w:rPr>
          <w:rFonts w:ascii="Times New Roman"/>
          <w:sz w:val="24"/>
          <w:szCs w:val="24"/>
        </w:rPr>
        <w:t xml:space="preserve"> through several programmes, agricultural commercialisation remains an internalised decision made towards</w:t>
      </w:r>
      <w:r w:rsidR="00CC3DA6">
        <w:rPr>
          <w:rFonts w:ascii="Times New Roman"/>
          <w:sz w:val="24"/>
          <w:szCs w:val="24"/>
        </w:rPr>
        <w:t xml:space="preserve"> the</w:t>
      </w:r>
      <w:r w:rsidRPr="00976AE1">
        <w:rPr>
          <w:rFonts w:ascii="Times New Roman"/>
          <w:sz w:val="24"/>
          <w:szCs w:val="24"/>
        </w:rPr>
        <w:t xml:space="preserve"> </w:t>
      </w:r>
      <w:r w:rsidRPr="00CC3DA6">
        <w:rPr>
          <w:rFonts w:ascii="Times New Roman"/>
          <w:noProof/>
          <w:sz w:val="24"/>
          <w:szCs w:val="24"/>
        </w:rPr>
        <w:t>market</w:t>
      </w:r>
      <w:r w:rsidRPr="00976AE1">
        <w:rPr>
          <w:rFonts w:ascii="Times New Roman"/>
          <w:sz w:val="24"/>
          <w:szCs w:val="24"/>
        </w:rPr>
        <w:t xml:space="preserve"> orientation of crop and livestock production. </w:t>
      </w:r>
      <w:r w:rsidR="00271EB1">
        <w:rPr>
          <w:rFonts w:ascii="Times New Roman"/>
          <w:sz w:val="24"/>
          <w:szCs w:val="24"/>
        </w:rPr>
        <w:t>Furthermore</w:t>
      </w:r>
      <w:r w:rsidR="00111E26">
        <w:rPr>
          <w:rFonts w:ascii="Times New Roman"/>
          <w:sz w:val="24"/>
          <w:szCs w:val="24"/>
        </w:rPr>
        <w:t>, c</w:t>
      </w:r>
      <w:r w:rsidR="00111E26" w:rsidRPr="00976AE1">
        <w:rPr>
          <w:rFonts w:ascii="Times New Roman"/>
          <w:sz w:val="24"/>
          <w:szCs w:val="24"/>
        </w:rPr>
        <w:t>ommercial agriculture is an inherently risky endeavour riddled with production, human, enabling environment, financial and market risk. How farmers perceive potential market risks becomes fundamental in decision making towards their market orientation</w:t>
      </w:r>
      <w:r w:rsidR="00D8533F">
        <w:rPr>
          <w:rFonts w:ascii="Times New Roman"/>
          <w:sz w:val="24"/>
          <w:szCs w:val="24"/>
        </w:rPr>
        <w:t xml:space="preserve"> as </w:t>
      </w:r>
      <w:r w:rsidR="00CC3DA6">
        <w:rPr>
          <w:rFonts w:ascii="Times New Roman"/>
          <w:noProof/>
          <w:sz w:val="24"/>
          <w:szCs w:val="24"/>
        </w:rPr>
        <w:t>suggested</w:t>
      </w:r>
      <w:r w:rsidR="00D8533F">
        <w:rPr>
          <w:rFonts w:ascii="Times New Roman"/>
          <w:sz w:val="24"/>
          <w:szCs w:val="24"/>
        </w:rPr>
        <w:t xml:space="preserve"> by</w:t>
      </w:r>
      <w:r w:rsidR="00271EB1">
        <w:rPr>
          <w:rFonts w:ascii="Times New Roman"/>
          <w:sz w:val="24"/>
          <w:szCs w:val="24"/>
        </w:rPr>
        <w:t xml:space="preserve"> the Proactive Continuous Risk Assessment Reference T</w:t>
      </w:r>
      <w:r w:rsidR="00D8533F">
        <w:rPr>
          <w:rFonts w:ascii="Times New Roman"/>
          <w:sz w:val="24"/>
          <w:szCs w:val="24"/>
        </w:rPr>
        <w:t>heory.</w:t>
      </w:r>
      <w:r w:rsidR="00111E26" w:rsidRPr="00976AE1">
        <w:rPr>
          <w:rFonts w:ascii="Times New Roman"/>
          <w:sz w:val="24"/>
          <w:szCs w:val="24"/>
        </w:rPr>
        <w:t xml:space="preserve"> </w:t>
      </w:r>
      <w:r w:rsidR="00D8533F">
        <w:rPr>
          <w:rFonts w:ascii="Times New Roman"/>
          <w:sz w:val="24"/>
          <w:szCs w:val="24"/>
        </w:rPr>
        <w:t>Therefore, the</w:t>
      </w:r>
      <w:r w:rsidRPr="00976AE1">
        <w:rPr>
          <w:rFonts w:ascii="Times New Roman"/>
          <w:sz w:val="24"/>
          <w:szCs w:val="24"/>
        </w:rPr>
        <w:t xml:space="preserve"> main aim of this </w:t>
      </w:r>
      <w:r w:rsidR="007667C4">
        <w:rPr>
          <w:rFonts w:ascii="Times New Roman"/>
          <w:sz w:val="24"/>
          <w:szCs w:val="24"/>
        </w:rPr>
        <w:t xml:space="preserve">cross section designed </w:t>
      </w:r>
      <w:r w:rsidRPr="00976AE1">
        <w:rPr>
          <w:rFonts w:ascii="Times New Roman"/>
          <w:sz w:val="24"/>
          <w:szCs w:val="24"/>
        </w:rPr>
        <w:t xml:space="preserve">study </w:t>
      </w:r>
      <w:r w:rsidR="00D8533F">
        <w:rPr>
          <w:rFonts w:ascii="Times New Roman"/>
          <w:sz w:val="24"/>
          <w:szCs w:val="24"/>
        </w:rPr>
        <w:t>was</w:t>
      </w:r>
      <w:r w:rsidRPr="00976AE1">
        <w:rPr>
          <w:rFonts w:ascii="Times New Roman"/>
          <w:sz w:val="24"/>
          <w:szCs w:val="24"/>
        </w:rPr>
        <w:t xml:space="preserve"> to investigate</w:t>
      </w:r>
      <w:r w:rsidR="00D8533F">
        <w:rPr>
          <w:rFonts w:ascii="Times New Roman"/>
          <w:sz w:val="24"/>
          <w:szCs w:val="24"/>
        </w:rPr>
        <w:t xml:space="preserve"> </w:t>
      </w:r>
      <w:r w:rsidR="00D8533F" w:rsidRPr="00976AE1">
        <w:rPr>
          <w:rFonts w:ascii="Times New Roman"/>
          <w:sz w:val="24"/>
          <w:szCs w:val="24"/>
        </w:rPr>
        <w:t>market risk perceptions</w:t>
      </w:r>
      <w:r w:rsidR="00D8533F">
        <w:rPr>
          <w:rFonts w:ascii="Times New Roman"/>
          <w:sz w:val="24"/>
          <w:szCs w:val="24"/>
        </w:rPr>
        <w:t>’</w:t>
      </w:r>
      <w:r w:rsidRPr="00976AE1">
        <w:rPr>
          <w:rFonts w:ascii="Times New Roman"/>
          <w:sz w:val="24"/>
          <w:szCs w:val="24"/>
        </w:rPr>
        <w:t xml:space="preserve"> influence on smallholder commercialisation levels and </w:t>
      </w:r>
      <w:r w:rsidR="007667C4">
        <w:rPr>
          <w:rFonts w:ascii="Times New Roman"/>
          <w:sz w:val="24"/>
          <w:szCs w:val="24"/>
        </w:rPr>
        <w:t xml:space="preserve">market risk perceptions. A multistage purposive sampling was used and Cochran equation was used to obtain a sample of </w:t>
      </w:r>
      <w:r w:rsidR="00662AF3">
        <w:rPr>
          <w:rFonts w:ascii="Times New Roman"/>
          <w:sz w:val="24"/>
          <w:szCs w:val="24"/>
        </w:rPr>
        <w:t>322</w:t>
      </w:r>
      <w:r w:rsidR="007C4F64">
        <w:rPr>
          <w:rFonts w:ascii="Times New Roman"/>
          <w:sz w:val="24"/>
          <w:szCs w:val="24"/>
        </w:rPr>
        <w:t xml:space="preserve"> </w:t>
      </w:r>
      <w:r w:rsidRPr="00976AE1">
        <w:rPr>
          <w:rFonts w:ascii="Times New Roman"/>
          <w:sz w:val="24"/>
          <w:szCs w:val="24"/>
        </w:rPr>
        <w:t xml:space="preserve">smallholder maize farmers in </w:t>
      </w:r>
      <w:r w:rsidR="00D8533F">
        <w:rPr>
          <w:rFonts w:ascii="Times New Roman"/>
          <w:sz w:val="24"/>
          <w:szCs w:val="24"/>
        </w:rPr>
        <w:t xml:space="preserve">Ingquza Hill </w:t>
      </w:r>
      <w:r w:rsidR="007C4F64">
        <w:rPr>
          <w:rFonts w:ascii="Times New Roman"/>
          <w:sz w:val="24"/>
          <w:szCs w:val="24"/>
        </w:rPr>
        <w:t>Local Municipality</w:t>
      </w:r>
      <w:r w:rsidRPr="00976AE1">
        <w:rPr>
          <w:rFonts w:ascii="Times New Roman"/>
          <w:sz w:val="24"/>
          <w:szCs w:val="24"/>
        </w:rPr>
        <w:t>, South Africa.</w:t>
      </w:r>
      <w:r w:rsidR="00662AF3">
        <w:rPr>
          <w:rFonts w:ascii="Times New Roman"/>
          <w:sz w:val="24"/>
          <w:szCs w:val="24"/>
        </w:rPr>
        <w:t xml:space="preserve"> Their level of commercialisation was measured using Household Commercialisation Index (HCI) while a Likert Scale was used to aggregate their market risk </w:t>
      </w:r>
      <w:r w:rsidR="001C54C0">
        <w:rPr>
          <w:rFonts w:ascii="Times New Roman"/>
          <w:sz w:val="24"/>
          <w:szCs w:val="24"/>
        </w:rPr>
        <w:t xml:space="preserve">severity </w:t>
      </w:r>
      <w:r w:rsidR="00662AF3">
        <w:rPr>
          <w:rFonts w:ascii="Times New Roman"/>
          <w:sz w:val="24"/>
          <w:szCs w:val="24"/>
        </w:rPr>
        <w:t>perceptions. Bivariate</w:t>
      </w:r>
      <w:r w:rsidR="000010CA">
        <w:rPr>
          <w:rFonts w:ascii="Times New Roman"/>
          <w:sz w:val="24"/>
          <w:szCs w:val="24"/>
        </w:rPr>
        <w:t xml:space="preserve"> </w:t>
      </w:r>
      <w:r w:rsidR="004C1A1D">
        <w:rPr>
          <w:rFonts w:ascii="Times New Roman"/>
          <w:sz w:val="24"/>
          <w:szCs w:val="24"/>
        </w:rPr>
        <w:t>Kendal’s tau-b</w:t>
      </w:r>
      <w:r w:rsidR="000010CA">
        <w:rPr>
          <w:rFonts w:ascii="Times New Roman"/>
          <w:sz w:val="24"/>
          <w:szCs w:val="24"/>
        </w:rPr>
        <w:t xml:space="preserve"> </w:t>
      </w:r>
      <w:r w:rsidR="00662AF3">
        <w:rPr>
          <w:rFonts w:ascii="Times New Roman"/>
          <w:sz w:val="24"/>
          <w:szCs w:val="24"/>
        </w:rPr>
        <w:t>correlation analysis was used to empirically confirm</w:t>
      </w:r>
      <w:r w:rsidR="00CC3DA6">
        <w:rPr>
          <w:rFonts w:ascii="Times New Roman"/>
          <w:sz w:val="24"/>
          <w:szCs w:val="24"/>
        </w:rPr>
        <w:t xml:space="preserve"> the</w:t>
      </w:r>
      <w:r w:rsidR="00662AF3">
        <w:rPr>
          <w:rFonts w:ascii="Times New Roman"/>
          <w:sz w:val="24"/>
          <w:szCs w:val="24"/>
        </w:rPr>
        <w:t xml:space="preserve"> </w:t>
      </w:r>
      <w:r w:rsidR="00662AF3" w:rsidRPr="00CC3DA6">
        <w:rPr>
          <w:rFonts w:ascii="Times New Roman"/>
          <w:noProof/>
          <w:sz w:val="24"/>
          <w:szCs w:val="24"/>
        </w:rPr>
        <w:t>existence</w:t>
      </w:r>
      <w:r w:rsidR="00662AF3">
        <w:rPr>
          <w:rFonts w:ascii="Times New Roman"/>
          <w:sz w:val="24"/>
          <w:szCs w:val="24"/>
        </w:rPr>
        <w:t xml:space="preserve"> of</w:t>
      </w:r>
      <w:r w:rsidR="00CC3DA6">
        <w:rPr>
          <w:rFonts w:ascii="Times New Roman"/>
          <w:sz w:val="24"/>
          <w:szCs w:val="24"/>
        </w:rPr>
        <w:t xml:space="preserve"> a</w:t>
      </w:r>
      <w:r w:rsidR="00662AF3">
        <w:rPr>
          <w:rFonts w:ascii="Times New Roman"/>
          <w:sz w:val="24"/>
          <w:szCs w:val="24"/>
        </w:rPr>
        <w:t xml:space="preserve"> </w:t>
      </w:r>
      <w:r w:rsidR="00662AF3" w:rsidRPr="00CC3DA6">
        <w:rPr>
          <w:rFonts w:ascii="Times New Roman"/>
          <w:noProof/>
          <w:sz w:val="24"/>
          <w:szCs w:val="24"/>
        </w:rPr>
        <w:t>relationship</w:t>
      </w:r>
      <w:r w:rsidR="00662AF3">
        <w:rPr>
          <w:rFonts w:ascii="Times New Roman"/>
          <w:sz w:val="24"/>
          <w:szCs w:val="24"/>
        </w:rPr>
        <w:t xml:space="preserve"> between the variables</w:t>
      </w:r>
      <w:r w:rsidR="00662AF3" w:rsidRPr="00662AF3">
        <w:rPr>
          <w:rFonts w:ascii="Times New Roman"/>
          <w:sz w:val="24"/>
          <w:szCs w:val="24"/>
        </w:rPr>
        <w:t xml:space="preserve"> </w:t>
      </w:r>
      <w:r w:rsidR="00662AF3">
        <w:rPr>
          <w:rFonts w:ascii="Times New Roman"/>
          <w:sz w:val="24"/>
          <w:szCs w:val="24"/>
        </w:rPr>
        <w:t>their market risk perceptions</w:t>
      </w:r>
      <w:r w:rsidR="00662AF3">
        <w:rPr>
          <w:rFonts w:ascii="Times New Roman"/>
          <w:sz w:val="24"/>
          <w:szCs w:val="24"/>
        </w:rPr>
        <w:t xml:space="preserve"> and </w:t>
      </w:r>
      <w:r w:rsidR="00662AF3">
        <w:rPr>
          <w:rFonts w:ascii="Times New Roman"/>
          <w:sz w:val="24"/>
          <w:szCs w:val="24"/>
        </w:rPr>
        <w:t>level of commercialisation</w:t>
      </w:r>
      <w:r w:rsidR="00662AF3">
        <w:rPr>
          <w:rFonts w:ascii="Times New Roman"/>
          <w:sz w:val="24"/>
          <w:szCs w:val="24"/>
        </w:rPr>
        <w:t>.</w:t>
      </w:r>
      <w:r w:rsidR="004C1A1D">
        <w:rPr>
          <w:rFonts w:ascii="Times New Roman"/>
          <w:sz w:val="24"/>
          <w:szCs w:val="24"/>
        </w:rPr>
        <w:t xml:space="preserve"> </w:t>
      </w:r>
      <w:r w:rsidR="00507D2D">
        <w:rPr>
          <w:rFonts w:ascii="Times New Roman"/>
          <w:sz w:val="24"/>
          <w:szCs w:val="24"/>
        </w:rPr>
        <w:t xml:space="preserve">A strong negative correlation of </w:t>
      </w:r>
      <w:r w:rsidR="00507D2D" w:rsidRPr="00CC3DA6">
        <w:rPr>
          <w:rFonts w:ascii="Times New Roman"/>
          <w:b/>
          <w:i/>
          <w:noProof/>
          <w:sz w:val="24"/>
          <w:szCs w:val="24"/>
        </w:rPr>
        <w:t>r</w:t>
      </w:r>
      <w:r w:rsidR="00507D2D" w:rsidRPr="00CC3DA6">
        <w:rPr>
          <w:rFonts w:ascii="Times New Roman"/>
          <w:b/>
          <w:i/>
          <w:noProof/>
          <w:sz w:val="24"/>
          <w:szCs w:val="24"/>
          <w:vertAlign w:val="subscript"/>
        </w:rPr>
        <w:t>k</w:t>
      </w:r>
      <w:r w:rsidR="00507D2D">
        <w:rPr>
          <w:rFonts w:ascii="Times New Roman"/>
          <w:i/>
          <w:sz w:val="24"/>
          <w:szCs w:val="24"/>
          <w:vertAlign w:val="subscript"/>
        </w:rPr>
        <w:t xml:space="preserve"> </w:t>
      </w:r>
      <w:r w:rsidR="00507D2D">
        <w:rPr>
          <w:rFonts w:ascii="Times New Roman"/>
          <w:i/>
          <w:sz w:val="24"/>
          <w:szCs w:val="24"/>
        </w:rPr>
        <w:t>=</w:t>
      </w:r>
      <w:r w:rsidR="00662AF3">
        <w:rPr>
          <w:rFonts w:ascii="Times New Roman"/>
          <w:sz w:val="24"/>
          <w:szCs w:val="24"/>
        </w:rPr>
        <w:t xml:space="preserve"> </w:t>
      </w:r>
      <w:r w:rsidR="00507D2D">
        <w:rPr>
          <w:rFonts w:ascii="Times New Roman"/>
          <w:sz w:val="24"/>
          <w:szCs w:val="24"/>
        </w:rPr>
        <w:t xml:space="preserve">- 0.764 was confirmed displayed significance (P ˂ 0.05). </w:t>
      </w:r>
      <w:r w:rsidR="001C54C0">
        <w:rPr>
          <w:rFonts w:ascii="Times New Roman"/>
          <w:sz w:val="24"/>
          <w:szCs w:val="24"/>
        </w:rPr>
        <w:t xml:space="preserve">Tobit </w:t>
      </w:r>
      <w:r w:rsidR="00662AF3">
        <w:rPr>
          <w:rFonts w:ascii="Times New Roman"/>
          <w:sz w:val="24"/>
          <w:szCs w:val="24"/>
        </w:rPr>
        <w:t xml:space="preserve">Regression Model was used to </w:t>
      </w:r>
      <w:r w:rsidR="00662AF3" w:rsidRPr="00CC3DA6">
        <w:rPr>
          <w:rFonts w:ascii="Times New Roman"/>
          <w:noProof/>
          <w:sz w:val="24"/>
          <w:szCs w:val="24"/>
        </w:rPr>
        <w:t>e</w:t>
      </w:r>
      <w:r w:rsidR="00CC3DA6">
        <w:rPr>
          <w:rFonts w:ascii="Times New Roman"/>
          <w:noProof/>
          <w:sz w:val="24"/>
          <w:szCs w:val="24"/>
        </w:rPr>
        <w:t>co</w:t>
      </w:r>
      <w:r w:rsidR="00662AF3" w:rsidRPr="00CC3DA6">
        <w:rPr>
          <w:rFonts w:ascii="Times New Roman"/>
          <w:noProof/>
          <w:sz w:val="24"/>
          <w:szCs w:val="24"/>
        </w:rPr>
        <w:t>nometrically</w:t>
      </w:r>
      <w:r w:rsidR="00662AF3">
        <w:rPr>
          <w:rFonts w:ascii="Times New Roman"/>
          <w:sz w:val="24"/>
          <w:szCs w:val="24"/>
        </w:rPr>
        <w:t xml:space="preserve"> detect</w:t>
      </w:r>
      <w:r w:rsidR="00CC3DA6">
        <w:rPr>
          <w:rFonts w:ascii="Times New Roman"/>
          <w:sz w:val="24"/>
          <w:szCs w:val="24"/>
        </w:rPr>
        <w:t xml:space="preserve"> the</w:t>
      </w:r>
      <w:r w:rsidR="00662AF3">
        <w:rPr>
          <w:rFonts w:ascii="Times New Roman"/>
          <w:sz w:val="24"/>
          <w:szCs w:val="24"/>
        </w:rPr>
        <w:t xml:space="preserve"> </w:t>
      </w:r>
      <w:r w:rsidR="00662AF3" w:rsidRPr="00CC3DA6">
        <w:rPr>
          <w:rFonts w:ascii="Times New Roman"/>
          <w:noProof/>
          <w:sz w:val="24"/>
          <w:szCs w:val="24"/>
        </w:rPr>
        <w:t>significance</w:t>
      </w:r>
      <w:r w:rsidR="00662AF3">
        <w:rPr>
          <w:rFonts w:ascii="Times New Roman"/>
          <w:sz w:val="24"/>
          <w:szCs w:val="24"/>
        </w:rPr>
        <w:t xml:space="preserve"> of market risk perceptions </w:t>
      </w:r>
      <w:r w:rsidR="005B3D89">
        <w:rPr>
          <w:rFonts w:ascii="Times New Roman"/>
          <w:sz w:val="24"/>
          <w:szCs w:val="24"/>
        </w:rPr>
        <w:t>among socio –</w:t>
      </w:r>
      <w:r w:rsidR="005D57AF">
        <w:rPr>
          <w:rFonts w:ascii="Times New Roman"/>
          <w:sz w:val="24"/>
          <w:szCs w:val="24"/>
        </w:rPr>
        <w:t xml:space="preserve"> </w:t>
      </w:r>
      <w:r w:rsidR="005B3D89">
        <w:rPr>
          <w:rFonts w:ascii="Times New Roman"/>
          <w:sz w:val="24"/>
          <w:szCs w:val="24"/>
        </w:rPr>
        <w:t>economic, institutional and agronomic factors influencing</w:t>
      </w:r>
      <w:r w:rsidR="00CC3DA6">
        <w:rPr>
          <w:rFonts w:ascii="Times New Roman"/>
          <w:sz w:val="24"/>
          <w:szCs w:val="24"/>
        </w:rPr>
        <w:t xml:space="preserve"> the</w:t>
      </w:r>
      <w:r w:rsidR="005B3D89">
        <w:rPr>
          <w:rFonts w:ascii="Times New Roman"/>
          <w:sz w:val="24"/>
          <w:szCs w:val="24"/>
        </w:rPr>
        <w:t xml:space="preserve"> </w:t>
      </w:r>
      <w:r w:rsidR="005B3D89" w:rsidRPr="00CC3DA6">
        <w:rPr>
          <w:rFonts w:ascii="Times New Roman"/>
          <w:noProof/>
          <w:sz w:val="24"/>
          <w:szCs w:val="24"/>
        </w:rPr>
        <w:t>l</w:t>
      </w:r>
      <w:r w:rsidR="00662AF3" w:rsidRPr="00CC3DA6">
        <w:rPr>
          <w:rFonts w:ascii="Times New Roman"/>
          <w:noProof/>
          <w:sz w:val="24"/>
          <w:szCs w:val="24"/>
        </w:rPr>
        <w:t>evel</w:t>
      </w:r>
      <w:r w:rsidR="00662AF3">
        <w:rPr>
          <w:rFonts w:ascii="Times New Roman"/>
          <w:sz w:val="24"/>
          <w:szCs w:val="24"/>
        </w:rPr>
        <w:t xml:space="preserve"> of commercialisation. </w:t>
      </w:r>
      <w:r w:rsidR="00507D2D">
        <w:rPr>
          <w:rFonts w:ascii="Times New Roman"/>
          <w:sz w:val="24"/>
          <w:szCs w:val="24"/>
        </w:rPr>
        <w:t>Market risk perceptions were confirmed to be significant (P ˂ 0.05) in determining</w:t>
      </w:r>
      <w:r w:rsidR="00CC3DA6">
        <w:rPr>
          <w:rFonts w:ascii="Times New Roman"/>
          <w:sz w:val="24"/>
          <w:szCs w:val="24"/>
        </w:rPr>
        <w:t xml:space="preserve"> the</w:t>
      </w:r>
      <w:r w:rsidR="00507D2D">
        <w:rPr>
          <w:rFonts w:ascii="Times New Roman"/>
          <w:sz w:val="24"/>
          <w:szCs w:val="24"/>
        </w:rPr>
        <w:t xml:space="preserve"> </w:t>
      </w:r>
      <w:r w:rsidR="00507D2D" w:rsidRPr="00CC3DA6">
        <w:rPr>
          <w:rFonts w:ascii="Times New Roman"/>
          <w:noProof/>
          <w:sz w:val="24"/>
          <w:szCs w:val="24"/>
        </w:rPr>
        <w:t>level</w:t>
      </w:r>
      <w:r w:rsidR="00507D2D">
        <w:rPr>
          <w:rFonts w:ascii="Times New Roman"/>
          <w:sz w:val="24"/>
          <w:szCs w:val="24"/>
        </w:rPr>
        <w:t xml:space="preserve"> of commercialisation</w:t>
      </w:r>
      <w:r w:rsidR="000A0CEE">
        <w:rPr>
          <w:rFonts w:ascii="Times New Roman"/>
          <w:sz w:val="24"/>
          <w:szCs w:val="24"/>
        </w:rPr>
        <w:t>. Other significant socio – economic variables included</w:t>
      </w:r>
      <w:r w:rsidR="00CC3DA6">
        <w:rPr>
          <w:rFonts w:ascii="Times New Roman"/>
          <w:sz w:val="24"/>
          <w:szCs w:val="24"/>
        </w:rPr>
        <w:t xml:space="preserve"> the</w:t>
      </w:r>
      <w:r w:rsidR="000A0CEE">
        <w:rPr>
          <w:rFonts w:ascii="Times New Roman"/>
          <w:sz w:val="24"/>
          <w:szCs w:val="24"/>
        </w:rPr>
        <w:t xml:space="preserve"> </w:t>
      </w:r>
      <w:r w:rsidR="000A0CEE" w:rsidRPr="00CC3DA6">
        <w:rPr>
          <w:rFonts w:ascii="Times New Roman"/>
          <w:noProof/>
          <w:sz w:val="24"/>
          <w:szCs w:val="24"/>
        </w:rPr>
        <w:t>level</w:t>
      </w:r>
      <w:r w:rsidR="000A0CEE">
        <w:rPr>
          <w:rFonts w:ascii="Times New Roman"/>
          <w:sz w:val="24"/>
          <w:szCs w:val="24"/>
        </w:rPr>
        <w:t xml:space="preserve"> of education, cropping programme/</w:t>
      </w:r>
      <w:r w:rsidR="000A0CEE" w:rsidRPr="00CC3DA6">
        <w:rPr>
          <w:rFonts w:ascii="Times New Roman"/>
          <w:noProof/>
          <w:sz w:val="24"/>
          <w:szCs w:val="24"/>
        </w:rPr>
        <w:t>cooperative</w:t>
      </w:r>
      <w:r w:rsidR="000A0CEE">
        <w:rPr>
          <w:rFonts w:ascii="Times New Roman"/>
          <w:sz w:val="24"/>
          <w:szCs w:val="24"/>
        </w:rPr>
        <w:t xml:space="preserve"> membership, climate perceptions and experience in farming. This demonstrates that market risk perceptions are important in ensuring that smallholder farmers commercialize their production and </w:t>
      </w:r>
      <w:r w:rsidR="00164DEF">
        <w:rPr>
          <w:rFonts w:ascii="Times New Roman"/>
          <w:sz w:val="24"/>
          <w:szCs w:val="24"/>
        </w:rPr>
        <w:t xml:space="preserve">agricultural post-harvest and marketing infrastructure is optimally used. This information can be used by the Department of Rural and Agricultural </w:t>
      </w:r>
      <w:r w:rsidR="00164DEF">
        <w:rPr>
          <w:rFonts w:ascii="Times New Roman"/>
          <w:sz w:val="24"/>
          <w:szCs w:val="24"/>
        </w:rPr>
        <w:lastRenderedPageBreak/>
        <w:t>Development</w:t>
      </w:r>
      <w:r w:rsidR="00234B77">
        <w:rPr>
          <w:rFonts w:ascii="Times New Roman"/>
          <w:sz w:val="24"/>
          <w:szCs w:val="24"/>
        </w:rPr>
        <w:t xml:space="preserve"> and Department of Agriculture, Forestry and Fisheries</w:t>
      </w:r>
      <w:bookmarkStart w:id="0" w:name="_GoBack"/>
      <w:bookmarkEnd w:id="0"/>
      <w:r w:rsidR="00164DEF">
        <w:rPr>
          <w:rFonts w:ascii="Times New Roman"/>
          <w:sz w:val="24"/>
          <w:szCs w:val="24"/>
        </w:rPr>
        <w:t xml:space="preserve"> in an effort to improve their extension service in order to grow </w:t>
      </w:r>
      <w:r w:rsidR="00B72E42">
        <w:rPr>
          <w:rFonts w:ascii="Times New Roman"/>
          <w:sz w:val="24"/>
          <w:szCs w:val="24"/>
        </w:rPr>
        <w:t>resilience</w:t>
      </w:r>
      <w:r w:rsidR="00164DEF">
        <w:rPr>
          <w:rFonts w:ascii="Times New Roman"/>
          <w:sz w:val="24"/>
          <w:szCs w:val="24"/>
        </w:rPr>
        <w:t xml:space="preserve"> among smallholder farmers and ensure facilitated rural markets remain viable.</w:t>
      </w:r>
    </w:p>
    <w:p w:rsidR="00F105F2" w:rsidRPr="00D15430" w:rsidRDefault="00F105F2" w:rsidP="00F105F2">
      <w:pPr>
        <w:spacing w:before="240" w:line="360" w:lineRule="auto"/>
        <w:jc w:val="both"/>
        <w:rPr>
          <w:rFonts w:ascii="Times New Roman"/>
          <w:sz w:val="24"/>
          <w:szCs w:val="24"/>
        </w:rPr>
      </w:pPr>
      <w:r>
        <w:rPr>
          <w:rFonts w:ascii="Times New Roman"/>
          <w:b/>
          <w:sz w:val="24"/>
          <w:szCs w:val="24"/>
        </w:rPr>
        <w:t>Key words:</w:t>
      </w:r>
      <w:r>
        <w:rPr>
          <w:rFonts w:ascii="Times New Roman"/>
          <w:sz w:val="24"/>
          <w:szCs w:val="24"/>
        </w:rPr>
        <w:t xml:space="preserve"> Market risk; Smallholder farmers’ perceptions; Multinomial regression model; Proactive continuous risk management</w:t>
      </w:r>
      <w:r w:rsidR="00CC3DA6">
        <w:rPr>
          <w:rFonts w:ascii="Times New Roman"/>
          <w:sz w:val="24"/>
          <w:szCs w:val="24"/>
        </w:rPr>
        <w:t xml:space="preserve"> theory</w:t>
      </w:r>
      <w:r>
        <w:rPr>
          <w:rFonts w:ascii="Times New Roman"/>
          <w:sz w:val="24"/>
          <w:szCs w:val="24"/>
        </w:rPr>
        <w:t>; Tobit regression model.</w:t>
      </w:r>
    </w:p>
    <w:p w:rsidR="00F105F2" w:rsidRPr="00144FA7" w:rsidRDefault="00F105F2">
      <w:pPr>
        <w:rPr>
          <w:lang w:val="en-ZA"/>
        </w:rPr>
      </w:pPr>
    </w:p>
    <w:sectPr w:rsidR="00F105F2" w:rsidRPr="00144FA7" w:rsidSect="00B72E42">
      <w:pgSz w:w="11906" w:h="16838"/>
      <w:pgMar w:top="1134" w:right="1133"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AxMDI0NbY0MjA2sjRQ0lEKTi0uzszPAykwrAUAOT5y/CwAAAA="/>
  </w:docVars>
  <w:rsids>
    <w:rsidRoot w:val="00144FA7"/>
    <w:rsid w:val="000010CA"/>
    <w:rsid w:val="0008185A"/>
    <w:rsid w:val="000A0CEE"/>
    <w:rsid w:val="000E7945"/>
    <w:rsid w:val="00111E26"/>
    <w:rsid w:val="0012387E"/>
    <w:rsid w:val="00144FA7"/>
    <w:rsid w:val="00164DEF"/>
    <w:rsid w:val="001C54C0"/>
    <w:rsid w:val="001E1B1D"/>
    <w:rsid w:val="00234519"/>
    <w:rsid w:val="00234B77"/>
    <w:rsid w:val="00271EB1"/>
    <w:rsid w:val="003052B2"/>
    <w:rsid w:val="003D3603"/>
    <w:rsid w:val="004636D7"/>
    <w:rsid w:val="004C1A1D"/>
    <w:rsid w:val="004C477E"/>
    <w:rsid w:val="00507D2D"/>
    <w:rsid w:val="005B3D89"/>
    <w:rsid w:val="005D57AF"/>
    <w:rsid w:val="00662AF3"/>
    <w:rsid w:val="007667C4"/>
    <w:rsid w:val="007C4F64"/>
    <w:rsid w:val="00954E7C"/>
    <w:rsid w:val="009D04E0"/>
    <w:rsid w:val="00A74D91"/>
    <w:rsid w:val="00A85C89"/>
    <w:rsid w:val="00A87734"/>
    <w:rsid w:val="00B72E42"/>
    <w:rsid w:val="00BE2596"/>
    <w:rsid w:val="00C36362"/>
    <w:rsid w:val="00CC3DA6"/>
    <w:rsid w:val="00CE1938"/>
    <w:rsid w:val="00D45AB0"/>
    <w:rsid w:val="00D8533F"/>
    <w:rsid w:val="00E178BC"/>
    <w:rsid w:val="00E2473E"/>
    <w:rsid w:val="00E57C8F"/>
    <w:rsid w:val="00EB284A"/>
    <w:rsid w:val="00EB3E57"/>
    <w:rsid w:val="00EC647E"/>
    <w:rsid w:val="00F105F2"/>
    <w:rsid w:val="00FE633B"/>
  </w:rsids>
  <m:mathPr>
    <m:mathFont m:val="Cambria Math"/>
    <m:brkBin m:val="before"/>
    <m:brkBinSub m:val="--"/>
    <m:smallFrac m:val="0"/>
    <m:dispDef/>
    <m:lMargin m:val="0"/>
    <m:rMargin m:val="0"/>
    <m:defJc m:val="centerGroup"/>
    <m:wrapIndent m:val="1440"/>
    <m:intLim m:val="subSup"/>
    <m:naryLim m:val="undOvr"/>
  </m:mathPr>
  <w:themeFontLang w:val="en-ZA"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6BD8A"/>
  <w15:chartTrackingRefBased/>
  <w15:docId w15:val="{E4DB1FE2-824F-400D-8C2B-0DBCE2DD3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07D2D"/>
    <w:rPr>
      <w:sz w:val="16"/>
      <w:szCs w:val="16"/>
    </w:rPr>
  </w:style>
  <w:style w:type="paragraph" w:styleId="CommentText">
    <w:name w:val="annotation text"/>
    <w:basedOn w:val="Normal"/>
    <w:link w:val="CommentTextChar"/>
    <w:uiPriority w:val="99"/>
    <w:semiHidden/>
    <w:unhideWhenUsed/>
    <w:rsid w:val="00507D2D"/>
    <w:pPr>
      <w:spacing w:line="240" w:lineRule="auto"/>
    </w:pPr>
    <w:rPr>
      <w:sz w:val="20"/>
      <w:szCs w:val="20"/>
    </w:rPr>
  </w:style>
  <w:style w:type="character" w:customStyle="1" w:styleId="CommentTextChar">
    <w:name w:val="Comment Text Char"/>
    <w:basedOn w:val="DefaultParagraphFont"/>
    <w:link w:val="CommentText"/>
    <w:uiPriority w:val="99"/>
    <w:semiHidden/>
    <w:rsid w:val="00507D2D"/>
    <w:rPr>
      <w:sz w:val="20"/>
      <w:szCs w:val="20"/>
    </w:rPr>
  </w:style>
  <w:style w:type="paragraph" w:styleId="CommentSubject">
    <w:name w:val="annotation subject"/>
    <w:basedOn w:val="CommentText"/>
    <w:next w:val="CommentText"/>
    <w:link w:val="CommentSubjectChar"/>
    <w:uiPriority w:val="99"/>
    <w:semiHidden/>
    <w:unhideWhenUsed/>
    <w:rsid w:val="00507D2D"/>
    <w:rPr>
      <w:b/>
      <w:bCs/>
    </w:rPr>
  </w:style>
  <w:style w:type="character" w:customStyle="1" w:styleId="CommentSubjectChar">
    <w:name w:val="Comment Subject Char"/>
    <w:basedOn w:val="CommentTextChar"/>
    <w:link w:val="CommentSubject"/>
    <w:uiPriority w:val="99"/>
    <w:semiHidden/>
    <w:rsid w:val="00507D2D"/>
    <w:rPr>
      <w:b/>
      <w:bCs/>
      <w:sz w:val="20"/>
      <w:szCs w:val="20"/>
    </w:rPr>
  </w:style>
  <w:style w:type="paragraph" w:styleId="BalloonText">
    <w:name w:val="Balloon Text"/>
    <w:basedOn w:val="Normal"/>
    <w:link w:val="BalloonTextChar"/>
    <w:uiPriority w:val="99"/>
    <w:semiHidden/>
    <w:unhideWhenUsed/>
    <w:rsid w:val="00507D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D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75A70-4F63-4597-B4A8-DE717D6F5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NGWENYA, SYDNEY</dc:creator>
  <cp:keywords/>
  <dc:description/>
  <cp:lastModifiedBy>NGWENYA, SYDNEY</cp:lastModifiedBy>
  <cp:revision>3</cp:revision>
  <dcterms:created xsi:type="dcterms:W3CDTF">2017-08-28T21:14:00Z</dcterms:created>
  <dcterms:modified xsi:type="dcterms:W3CDTF">2017-08-28T21:16:00Z</dcterms:modified>
</cp:coreProperties>
</file>