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F42" w:rsidRPr="00E952F9" w:rsidRDefault="00D55F42" w:rsidP="00B87B77">
      <w:pPr>
        <w:spacing w:line="240" w:lineRule="auto"/>
        <w:ind w:left="-284"/>
        <w:rPr>
          <w:rFonts w:ascii="Minion Pro" w:eastAsia="Minion Pro" w:hAnsi="Minion Pro" w:cs="Minion Pro"/>
          <w:b/>
          <w:bCs/>
          <w:color w:val="337AB7"/>
          <w:sz w:val="36"/>
          <w:szCs w:val="36"/>
          <w:lang w:val="en-US"/>
        </w:rPr>
      </w:pPr>
      <w:r w:rsidRPr="00E952F9">
        <w:rPr>
          <w:rFonts w:ascii="Minion Pro" w:eastAsia="Minion Pro" w:hAnsi="Minion Pro" w:cs="Minion Pro"/>
          <w:b/>
          <w:bCs/>
          <w:color w:val="337AB7"/>
          <w:sz w:val="36"/>
          <w:szCs w:val="36"/>
          <w:lang w:val="en-US"/>
        </w:rPr>
        <w:t>Influence of activated charcoal and seedling density on the evolution of some growth and development parameters of a local Okra variety (</w:t>
      </w:r>
      <w:proofErr w:type="spellStart"/>
      <w:r w:rsidRPr="00E952F9">
        <w:rPr>
          <w:rFonts w:ascii="Minion Pro" w:eastAsia="Minion Pro" w:hAnsi="Minion Pro" w:cs="Minion Pro"/>
          <w:b/>
          <w:bCs/>
          <w:color w:val="337AB7"/>
          <w:sz w:val="36"/>
          <w:szCs w:val="36"/>
          <w:lang w:val="en-US"/>
        </w:rPr>
        <w:t>Abelmoschus</w:t>
      </w:r>
      <w:proofErr w:type="spellEnd"/>
      <w:r w:rsidRPr="00E952F9">
        <w:rPr>
          <w:rFonts w:ascii="Minion Pro" w:eastAsia="Minion Pro" w:hAnsi="Minion Pro" w:cs="Minion Pro"/>
          <w:b/>
          <w:bCs/>
          <w:color w:val="337AB7"/>
          <w:sz w:val="36"/>
          <w:szCs w:val="36"/>
          <w:lang w:val="en-US"/>
        </w:rPr>
        <w:t xml:space="preserve"> </w:t>
      </w:r>
      <w:proofErr w:type="spellStart"/>
      <w:r w:rsidRPr="00E952F9">
        <w:rPr>
          <w:rFonts w:ascii="Minion Pro" w:eastAsia="Minion Pro" w:hAnsi="Minion Pro" w:cs="Minion Pro"/>
          <w:b/>
          <w:bCs/>
          <w:color w:val="337AB7"/>
          <w:sz w:val="36"/>
          <w:szCs w:val="36"/>
          <w:lang w:val="en-US"/>
        </w:rPr>
        <w:t>caillei</w:t>
      </w:r>
      <w:proofErr w:type="spellEnd"/>
      <w:r w:rsidRPr="00E952F9">
        <w:rPr>
          <w:rFonts w:ascii="Minion Pro" w:eastAsia="Minion Pro" w:hAnsi="Minion Pro" w:cs="Minion Pro"/>
          <w:b/>
          <w:bCs/>
          <w:color w:val="337AB7"/>
          <w:sz w:val="36"/>
          <w:szCs w:val="36"/>
          <w:lang w:val="en-US"/>
        </w:rPr>
        <w:t>)</w:t>
      </w:r>
    </w:p>
    <w:p w:rsidR="00D55F42" w:rsidRPr="00E952F9" w:rsidRDefault="00D55F42" w:rsidP="00D55F42">
      <w:pPr>
        <w:spacing w:after="0"/>
        <w:ind w:left="-284"/>
        <w:rPr>
          <w:rFonts w:ascii="Arial" w:eastAsia="Tw Cen MT" w:hAnsi="Tw Cen MT" w:cs="Tw Cen MT"/>
          <w:sz w:val="18"/>
          <w:szCs w:val="18"/>
          <w:lang w:val="en-US"/>
        </w:rPr>
      </w:pPr>
      <w:r w:rsidRPr="00E952F9">
        <w:rPr>
          <w:rFonts w:ascii="Arial" w:eastAsia="Tw Cen MT" w:hAnsi="Tw Cen MT" w:cs="Tw Cen MT"/>
          <w:sz w:val="18"/>
          <w:szCs w:val="18"/>
          <w:lang w:val="en-US"/>
        </w:rPr>
        <w:t>KOUAME N</w:t>
      </w:r>
      <w:r w:rsidRPr="00E952F9">
        <w:rPr>
          <w:rFonts w:ascii="Arial" w:eastAsia="Tw Cen MT" w:hAnsi="Tw Cen MT" w:cs="Tw Cen MT"/>
          <w:sz w:val="18"/>
          <w:szCs w:val="18"/>
          <w:lang w:val="en-US"/>
        </w:rPr>
        <w:t>’</w:t>
      </w:r>
      <w:r w:rsidRPr="00E952F9">
        <w:rPr>
          <w:rFonts w:ascii="Arial" w:eastAsia="Tw Cen MT" w:hAnsi="Tw Cen MT" w:cs="Tw Cen MT"/>
          <w:sz w:val="18"/>
          <w:szCs w:val="18"/>
          <w:lang w:val="en-US"/>
        </w:rPr>
        <w:t xml:space="preserve">GUESSAN, </w:t>
      </w:r>
      <w:proofErr w:type="spellStart"/>
      <w:r w:rsidRPr="00E952F9">
        <w:rPr>
          <w:rFonts w:ascii="Arial" w:eastAsia="Tw Cen MT" w:hAnsi="Tw Cen MT" w:cs="Tw Cen MT"/>
          <w:sz w:val="18"/>
          <w:szCs w:val="18"/>
          <w:lang w:val="en-US"/>
        </w:rPr>
        <w:t>Dr</w:t>
      </w:r>
      <w:proofErr w:type="spellEnd"/>
      <w:r w:rsidRPr="00E952F9">
        <w:rPr>
          <w:rFonts w:ascii="Arial" w:eastAsia="Tw Cen MT" w:hAnsi="Tw Cen MT" w:cs="Tw Cen MT"/>
          <w:sz w:val="18"/>
          <w:szCs w:val="18"/>
          <w:lang w:val="en-US"/>
        </w:rPr>
        <w:t xml:space="preserve">, UFR Agro, </w:t>
      </w:r>
      <w:proofErr w:type="spellStart"/>
      <w:r w:rsidRPr="00E952F9">
        <w:rPr>
          <w:rFonts w:ascii="Arial" w:eastAsia="Tw Cen MT" w:hAnsi="Tw Cen MT" w:cs="Tw Cen MT"/>
          <w:sz w:val="18"/>
          <w:szCs w:val="18"/>
          <w:lang w:val="en-US"/>
        </w:rPr>
        <w:t>UJLoG</w:t>
      </w:r>
      <w:proofErr w:type="spellEnd"/>
      <w:r w:rsidRPr="00E952F9">
        <w:rPr>
          <w:rFonts w:ascii="Arial" w:eastAsia="Tw Cen MT" w:hAnsi="Tw Cen MT" w:cs="Tw Cen MT"/>
          <w:sz w:val="18"/>
          <w:szCs w:val="18"/>
          <w:lang w:val="en-US"/>
        </w:rPr>
        <w:t xml:space="preserve"> </w:t>
      </w:r>
      <w:proofErr w:type="spellStart"/>
      <w:r w:rsidRPr="00E952F9">
        <w:rPr>
          <w:rFonts w:ascii="Arial" w:eastAsia="Tw Cen MT" w:hAnsi="Tw Cen MT" w:cs="Tw Cen MT"/>
          <w:sz w:val="18"/>
          <w:szCs w:val="18"/>
          <w:lang w:val="en-US"/>
        </w:rPr>
        <w:t>Daloa</w:t>
      </w:r>
      <w:proofErr w:type="spellEnd"/>
      <w:r w:rsidRPr="00E952F9">
        <w:rPr>
          <w:rFonts w:ascii="Arial" w:eastAsia="Tw Cen MT" w:hAnsi="Tw Cen MT" w:cs="Tw Cen MT"/>
          <w:sz w:val="18"/>
          <w:szCs w:val="18"/>
          <w:lang w:val="en-US"/>
        </w:rPr>
        <w:t>, C</w:t>
      </w:r>
      <w:r w:rsidRPr="00E952F9">
        <w:rPr>
          <w:rFonts w:ascii="Arial" w:eastAsia="Tw Cen MT" w:hAnsi="Tw Cen MT" w:cs="Tw Cen MT"/>
          <w:sz w:val="18"/>
          <w:szCs w:val="18"/>
          <w:lang w:val="en-US"/>
        </w:rPr>
        <w:t>ô</w:t>
      </w:r>
      <w:r w:rsidRPr="00E952F9">
        <w:rPr>
          <w:rFonts w:ascii="Arial" w:eastAsia="Tw Cen MT" w:hAnsi="Tw Cen MT" w:cs="Tw Cen MT"/>
          <w:sz w:val="18"/>
          <w:szCs w:val="18"/>
          <w:lang w:val="en-US"/>
        </w:rPr>
        <w:t>te d'Ivoire.</w:t>
      </w:r>
    </w:p>
    <w:p w:rsidR="00D55F42" w:rsidRPr="00E952F9" w:rsidRDefault="00D55F42" w:rsidP="00D55F42">
      <w:pPr>
        <w:spacing w:after="0"/>
        <w:ind w:left="-284"/>
        <w:rPr>
          <w:rFonts w:ascii="Arial" w:eastAsia="Tw Cen MT" w:hAnsi="Tw Cen MT" w:cs="Tw Cen MT"/>
          <w:sz w:val="18"/>
          <w:szCs w:val="18"/>
          <w:lang w:val="en-US"/>
        </w:rPr>
      </w:pPr>
      <w:r w:rsidRPr="00E952F9">
        <w:rPr>
          <w:rFonts w:ascii="Arial" w:eastAsia="Tw Cen MT" w:hAnsi="Tw Cen MT" w:cs="Tw Cen MT"/>
          <w:sz w:val="18"/>
          <w:szCs w:val="18"/>
          <w:lang w:val="en-US"/>
        </w:rPr>
        <w:t>KOUAME N</w:t>
      </w:r>
      <w:r w:rsidRPr="00E952F9">
        <w:rPr>
          <w:rFonts w:ascii="Arial" w:eastAsia="Tw Cen MT" w:hAnsi="Tw Cen MT" w:cs="Tw Cen MT"/>
          <w:sz w:val="18"/>
          <w:szCs w:val="18"/>
          <w:lang w:val="en-US"/>
        </w:rPr>
        <w:t>’</w:t>
      </w:r>
      <w:r w:rsidRPr="00E952F9">
        <w:rPr>
          <w:rFonts w:ascii="Arial" w:eastAsia="Tw Cen MT" w:hAnsi="Tw Cen MT" w:cs="Tw Cen MT"/>
          <w:sz w:val="18"/>
          <w:szCs w:val="18"/>
          <w:lang w:val="en-US"/>
        </w:rPr>
        <w:t xml:space="preserve">GUESSAN, </w:t>
      </w:r>
      <w:proofErr w:type="spellStart"/>
      <w:r w:rsidRPr="00E952F9">
        <w:rPr>
          <w:rFonts w:ascii="Arial" w:eastAsia="Tw Cen MT" w:hAnsi="Tw Cen MT" w:cs="Tw Cen MT"/>
          <w:sz w:val="18"/>
          <w:szCs w:val="18"/>
          <w:lang w:val="en-US"/>
        </w:rPr>
        <w:t>Dr</w:t>
      </w:r>
      <w:proofErr w:type="spellEnd"/>
      <w:r w:rsidRPr="00E952F9">
        <w:rPr>
          <w:rFonts w:ascii="Arial" w:eastAsia="Tw Cen MT" w:hAnsi="Tw Cen MT" w:cs="Tw Cen MT"/>
          <w:sz w:val="18"/>
          <w:szCs w:val="18"/>
          <w:lang w:val="en-US"/>
        </w:rPr>
        <w:t>, UFR Agro,</w:t>
      </w:r>
      <w:r w:rsidRPr="00E952F9">
        <w:rPr>
          <w:rFonts w:ascii="Arial" w:eastAsia="Tw Cen MT" w:hAnsi="Tw Cen MT" w:cs="Tw Cen MT"/>
          <w:sz w:val="18"/>
          <w:szCs w:val="18"/>
          <w:lang w:val="en-US"/>
        </w:rPr>
        <w:t xml:space="preserve"> </w:t>
      </w:r>
      <w:proofErr w:type="spellStart"/>
      <w:r w:rsidRPr="00E952F9">
        <w:rPr>
          <w:rFonts w:ascii="Arial" w:eastAsia="Tw Cen MT" w:hAnsi="Tw Cen MT" w:cs="Tw Cen MT"/>
          <w:sz w:val="18"/>
          <w:szCs w:val="18"/>
          <w:lang w:val="en-US"/>
        </w:rPr>
        <w:t>UJLoG</w:t>
      </w:r>
      <w:proofErr w:type="spellEnd"/>
      <w:r w:rsidRPr="00E952F9">
        <w:rPr>
          <w:rFonts w:ascii="Arial" w:eastAsia="Tw Cen MT" w:hAnsi="Tw Cen MT" w:cs="Tw Cen MT"/>
          <w:sz w:val="18"/>
          <w:szCs w:val="18"/>
          <w:lang w:val="en-US"/>
        </w:rPr>
        <w:t xml:space="preserve"> </w:t>
      </w:r>
      <w:proofErr w:type="spellStart"/>
      <w:r w:rsidRPr="00E952F9">
        <w:rPr>
          <w:rFonts w:ascii="Arial" w:eastAsia="Tw Cen MT" w:hAnsi="Tw Cen MT" w:cs="Tw Cen MT"/>
          <w:sz w:val="18"/>
          <w:szCs w:val="18"/>
          <w:lang w:val="en-US"/>
        </w:rPr>
        <w:t>Daloa</w:t>
      </w:r>
      <w:proofErr w:type="spellEnd"/>
      <w:r w:rsidRPr="00E952F9">
        <w:rPr>
          <w:rFonts w:ascii="Arial" w:eastAsia="Tw Cen MT" w:hAnsi="Tw Cen MT" w:cs="Tw Cen MT"/>
          <w:sz w:val="18"/>
          <w:szCs w:val="18"/>
          <w:lang w:val="en-US"/>
        </w:rPr>
        <w:t>, C</w:t>
      </w:r>
      <w:r w:rsidRPr="00E952F9">
        <w:rPr>
          <w:rFonts w:ascii="Arial" w:eastAsia="Tw Cen MT" w:hAnsi="Tw Cen MT" w:cs="Tw Cen MT"/>
          <w:sz w:val="18"/>
          <w:szCs w:val="18"/>
          <w:lang w:val="en-US"/>
        </w:rPr>
        <w:t>ô</w:t>
      </w:r>
      <w:r w:rsidRPr="00E952F9">
        <w:rPr>
          <w:rFonts w:ascii="Arial" w:eastAsia="Tw Cen MT" w:hAnsi="Tw Cen MT" w:cs="Tw Cen MT"/>
          <w:sz w:val="18"/>
          <w:szCs w:val="18"/>
          <w:lang w:val="en-US"/>
        </w:rPr>
        <w:t>te d'Ivoire.</w:t>
      </w:r>
      <w:r w:rsidR="00F27A2A" w:rsidRPr="00E952F9">
        <w:rPr>
          <w:rFonts w:ascii="Arial" w:eastAsia="Tw Cen MT" w:hAnsi="Tw Cen MT" w:cs="Tw Cen MT"/>
          <w:sz w:val="18"/>
          <w:szCs w:val="18"/>
        </w:rPr>
        <w:t xml:space="preserve"> </w:t>
      </w:r>
    </w:p>
    <w:p w:rsidR="00D55F42" w:rsidRPr="00D55F42" w:rsidRDefault="00D55F42" w:rsidP="00D55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fr-FR"/>
        </w:rPr>
      </w:pPr>
    </w:p>
    <w:p w:rsidR="00D55F42" w:rsidRPr="00E952F9" w:rsidRDefault="0094570B" w:rsidP="00D55F42">
      <w:pPr>
        <w:pStyle w:val="PrformatHTML"/>
        <w:ind w:hanging="284"/>
        <w:rPr>
          <w:rFonts w:ascii="Arial" w:eastAsia="Arial" w:hAnsi="Arial" w:cs="Arial"/>
          <w:b/>
          <w:bCs/>
          <w:color w:val="BF5A14"/>
          <w:lang w:val="en-US" w:eastAsia="en-US"/>
        </w:rPr>
      </w:pPr>
      <w:r w:rsidRPr="00E952F9">
        <w:rPr>
          <w:rFonts w:ascii="Arial" w:eastAsia="Arial" w:hAnsi="Arial" w:cs="Arial"/>
          <w:b/>
          <w:bCs/>
          <w:color w:val="BF5A14"/>
          <w:lang w:val="en-US" w:eastAsia="en-US"/>
        </w:rPr>
        <w:t>Abstract</w:t>
      </w:r>
    </w:p>
    <w:p w:rsidR="00D55F42" w:rsidRPr="00D55F42" w:rsidRDefault="00D55F42" w:rsidP="00D55F42">
      <w:pPr>
        <w:pStyle w:val="PrformatHTML"/>
        <w:rPr>
          <w:rFonts w:ascii="Times New Roman" w:hAnsi="Times New Roman" w:cs="Times New Roman"/>
          <w:b/>
          <w:sz w:val="24"/>
          <w:szCs w:val="24"/>
          <w:lang w:val="en-US" w:eastAsia="en-US"/>
        </w:rPr>
      </w:pPr>
    </w:p>
    <w:p w:rsidR="00B87B77" w:rsidRDefault="00B87B77" w:rsidP="00B87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jc w:val="both"/>
        <w:rPr>
          <w:rFonts w:ascii="Tw Cen MT" w:eastAsia="Tw Cen MT" w:hAnsi="Tw Cen MT" w:cs="Tw Cen MT"/>
          <w:sz w:val="18"/>
          <w:szCs w:val="18"/>
          <w:lang w:val="en-US"/>
        </w:rPr>
        <w:sectPr w:rsidR="00B87B77">
          <w:pgSz w:w="11906" w:h="16838"/>
          <w:pgMar w:top="1417" w:right="1417" w:bottom="1417" w:left="1417" w:header="708" w:footer="708" w:gutter="0"/>
          <w:cols w:space="708"/>
          <w:docGrid w:linePitch="360"/>
        </w:sectPr>
      </w:pPr>
    </w:p>
    <w:p w:rsidR="0094570B" w:rsidRPr="00E952F9" w:rsidRDefault="00F27A2A" w:rsidP="00B87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jc w:val="both"/>
        <w:rPr>
          <w:rFonts w:ascii="Tw Cen MT" w:eastAsia="Tw Cen MT" w:hAnsi="Tw Cen MT" w:cs="Tw Cen MT"/>
          <w:sz w:val="18"/>
          <w:szCs w:val="18"/>
          <w:lang w:val="en-US"/>
        </w:rPr>
      </w:pPr>
      <w:r w:rsidRPr="00E952F9">
        <w:rPr>
          <w:rFonts w:ascii="Tw Cen MT" w:eastAsia="Tw Cen MT" w:hAnsi="Tw Cen MT" w:cs="Tw Cen MT"/>
          <w:sz w:val="18"/>
          <w:szCs w:val="18"/>
          <w:lang w:val="en-US"/>
        </w:rPr>
        <w:lastRenderedPageBreak/>
        <w:t xml:space="preserve">Statement of the Problem: </w:t>
      </w:r>
      <w:r w:rsidR="00D55F42" w:rsidRPr="00E952F9">
        <w:rPr>
          <w:rFonts w:ascii="Tw Cen MT" w:eastAsia="Tw Cen MT" w:hAnsi="Tw Cen MT" w:cs="Tw Cen MT"/>
          <w:sz w:val="18"/>
          <w:szCs w:val="18"/>
          <w:lang w:val="en-US"/>
        </w:rPr>
        <w:t xml:space="preserve">Okra is a plant rich in nutrients like most food crops and is very well consumed in Côte d'Ivoire. Despite its many benefits, the production of this vegetable is still weak in our country. The reasons for this include the inadequate selection of varieties, the high cost of inputs and the poverty of the soil for its cultivation. One of the alternatives for sustained production is to solve the problem of soil fertility. In the case of our work, the aim was to improve the yield of okra. To achieve this goal, experiments were undertaken to evaluate the impact of activated charcoal on morphological parameters of a local okra variety. For this purpose, the coal used was activated in three different times (activation time equal to 0 days, 15 days and 30 days). </w:t>
      </w:r>
      <w:r w:rsidRPr="00E952F9">
        <w:rPr>
          <w:rFonts w:ascii="Tw Cen MT" w:eastAsia="Tw Cen MT" w:hAnsi="Tw Cen MT" w:cs="Tw Cen MT"/>
          <w:sz w:val="18"/>
          <w:szCs w:val="18"/>
          <w:lang w:val="en-US"/>
        </w:rPr>
        <w:t>Methodolog</w:t>
      </w:r>
      <w:r w:rsidRPr="00E952F9">
        <w:rPr>
          <w:rFonts w:ascii="Tw Cen MT" w:eastAsia="Tw Cen MT" w:hAnsi="Tw Cen MT" w:cs="Tw Cen MT"/>
          <w:sz w:val="18"/>
          <w:szCs w:val="18"/>
          <w:lang w:val="en-US"/>
        </w:rPr>
        <w:t>y and</w:t>
      </w:r>
      <w:r w:rsidRPr="00E952F9">
        <w:rPr>
          <w:rFonts w:ascii="Tw Cen MT" w:eastAsia="Tw Cen MT" w:hAnsi="Tw Cen MT" w:cs="Tw Cen MT"/>
          <w:sz w:val="18"/>
          <w:szCs w:val="18"/>
          <w:lang w:val="en-US"/>
        </w:rPr>
        <w:t xml:space="preserve"> Theoretical Orientation:</w:t>
      </w:r>
      <w:r w:rsidRPr="00E952F9">
        <w:rPr>
          <w:rFonts w:ascii="Tw Cen MT" w:eastAsia="Tw Cen MT" w:hAnsi="Tw Cen MT" w:cs="Tw Cen MT"/>
          <w:sz w:val="18"/>
          <w:szCs w:val="18"/>
          <w:lang w:val="en-US"/>
        </w:rPr>
        <w:t xml:space="preserve"> </w:t>
      </w:r>
      <w:r w:rsidR="00D55F42" w:rsidRPr="00E952F9">
        <w:rPr>
          <w:rFonts w:ascii="Tw Cen MT" w:eastAsia="Tw Cen MT" w:hAnsi="Tw Cen MT" w:cs="Tw Cen MT"/>
          <w:sz w:val="18"/>
          <w:szCs w:val="18"/>
          <w:lang w:val="en-US"/>
        </w:rPr>
        <w:t xml:space="preserve">The experimental device used was a split-plot with three repetitions, each comprising 12 elementary plots. The various coals were buried the same day. Then, the seedling was done with three different densities namely 20 cm x 20 cm, 30 cm x 30 cm and 40 cm x 40 cm. Observations were made on 360 plants. An analysis of the variances was carried out on the morphological parameters. </w:t>
      </w:r>
      <w:r w:rsidR="0094570B" w:rsidRPr="00E952F9">
        <w:rPr>
          <w:rFonts w:ascii="Tw Cen MT" w:eastAsia="Tw Cen MT" w:hAnsi="Tw Cen MT" w:cs="Tw Cen MT"/>
          <w:sz w:val="18"/>
          <w:szCs w:val="18"/>
          <w:lang w:val="en-US"/>
        </w:rPr>
        <w:t>Findings:</w:t>
      </w:r>
      <w:r w:rsidR="0094570B" w:rsidRPr="00E952F9">
        <w:rPr>
          <w:rFonts w:ascii="Tw Cen MT" w:eastAsia="Tw Cen MT" w:hAnsi="Tw Cen MT" w:cs="Tw Cen MT"/>
          <w:sz w:val="18"/>
          <w:szCs w:val="18"/>
          <w:lang w:val="en-US"/>
        </w:rPr>
        <w:t xml:space="preserve"> </w:t>
      </w:r>
      <w:r w:rsidR="00D55F42" w:rsidRPr="00E952F9">
        <w:rPr>
          <w:rFonts w:ascii="Tw Cen MT" w:eastAsia="Tw Cen MT" w:hAnsi="Tw Cen MT" w:cs="Tw Cen MT"/>
          <w:sz w:val="18"/>
          <w:szCs w:val="18"/>
          <w:lang w:val="en-US"/>
        </w:rPr>
        <w:t xml:space="preserve">Fruit mass has been the </w:t>
      </w:r>
      <w:bookmarkStart w:id="0" w:name="_GoBack"/>
      <w:bookmarkEnd w:id="0"/>
      <w:r w:rsidR="00D55F42" w:rsidRPr="00E952F9">
        <w:rPr>
          <w:rFonts w:ascii="Tw Cen MT" w:eastAsia="Tw Cen MT" w:hAnsi="Tw Cen MT" w:cs="Tw Cen MT"/>
          <w:sz w:val="18"/>
          <w:szCs w:val="18"/>
          <w:lang w:val="en-US"/>
        </w:rPr>
        <w:t xml:space="preserve">variable most influenced by activated charcoal. Thus, the </w:t>
      </w:r>
      <w:r w:rsidR="00D55F42" w:rsidRPr="00E952F9">
        <w:rPr>
          <w:rFonts w:ascii="Tw Cen MT" w:eastAsia="Tw Cen MT" w:hAnsi="Tw Cen MT" w:cs="Tw Cen MT"/>
          <w:sz w:val="18"/>
          <w:szCs w:val="18"/>
          <w:lang w:val="en-US"/>
        </w:rPr>
        <w:lastRenderedPageBreak/>
        <w:t xml:space="preserve">greatest value of the mass was obtained with the charcoal CA0, with the density D40x40. </w:t>
      </w:r>
    </w:p>
    <w:p w:rsidR="0094570B" w:rsidRPr="00E952F9" w:rsidRDefault="00572F02" w:rsidP="00B87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jc w:val="both"/>
        <w:rPr>
          <w:rFonts w:ascii="Tw Cen MT" w:eastAsia="Tw Cen MT" w:hAnsi="Tw Cen MT" w:cs="Tw Cen MT"/>
          <w:sz w:val="18"/>
          <w:szCs w:val="18"/>
          <w:lang w:val="en-US"/>
        </w:rPr>
      </w:pPr>
      <w:r>
        <w:rPr>
          <w:rFonts w:ascii="Tw Cen MT" w:eastAsia="Tw Cen MT" w:hAnsi="Tw Cen MT" w:cs="Tw Cen MT"/>
          <w:sz w:val="18"/>
          <w:szCs w:val="18"/>
          <w:lang w:val="en-US"/>
        </w:rPr>
        <w:t>Conclusion and</w:t>
      </w:r>
      <w:r w:rsidR="0094570B" w:rsidRPr="00E952F9">
        <w:rPr>
          <w:rFonts w:ascii="Tw Cen MT" w:eastAsia="Tw Cen MT" w:hAnsi="Tw Cen MT" w:cs="Tw Cen MT"/>
          <w:sz w:val="18"/>
          <w:szCs w:val="18"/>
          <w:lang w:val="en-US"/>
        </w:rPr>
        <w:t xml:space="preserve"> Significance:</w:t>
      </w:r>
      <w:r w:rsidR="0094570B" w:rsidRPr="00E952F9">
        <w:rPr>
          <w:rFonts w:ascii="Tw Cen MT" w:eastAsia="Tw Cen MT" w:hAnsi="Tw Cen MT" w:cs="Tw Cen MT"/>
          <w:sz w:val="18"/>
          <w:szCs w:val="18"/>
          <w:lang w:val="en-US"/>
        </w:rPr>
        <w:t xml:space="preserve"> </w:t>
      </w:r>
      <w:r w:rsidR="00D55F42" w:rsidRPr="00E952F9">
        <w:rPr>
          <w:rFonts w:ascii="Tw Cen MT" w:eastAsia="Tw Cen MT" w:hAnsi="Tw Cen MT" w:cs="Tw Cen MT"/>
          <w:sz w:val="18"/>
          <w:szCs w:val="18"/>
          <w:lang w:val="en-US"/>
        </w:rPr>
        <w:t>Therefore, we can say that activated carbon at 0 days with a D40x40 density allows good growth and maximum development of okra.</w:t>
      </w:r>
    </w:p>
    <w:p w:rsidR="006917FF" w:rsidRDefault="0094570B" w:rsidP="00B87B77">
      <w:pPr>
        <w:pStyle w:val="PrformatHTML"/>
        <w:ind w:hanging="284"/>
        <w:rPr>
          <w:rFonts w:ascii="Arial" w:eastAsia="Arial" w:hAnsi="Arial" w:cs="Arial"/>
          <w:b/>
          <w:bCs/>
          <w:color w:val="BF5A14"/>
          <w:lang w:val="en-US" w:eastAsia="en-US"/>
        </w:rPr>
      </w:pPr>
      <w:r w:rsidRPr="00B87B77">
        <w:rPr>
          <w:rFonts w:ascii="Arial" w:eastAsia="Arial" w:hAnsi="Arial" w:cs="Arial"/>
          <w:b/>
          <w:bCs/>
          <w:color w:val="BF5A14"/>
          <w:lang w:val="en-US" w:eastAsia="en-US"/>
        </w:rPr>
        <w:t>Recent Publications</w:t>
      </w:r>
      <w:r w:rsidRPr="00B87B77">
        <w:rPr>
          <w:rFonts w:ascii="Arial" w:eastAsia="Arial" w:hAnsi="Arial" w:cs="Arial"/>
          <w:b/>
          <w:bCs/>
          <w:color w:val="BF5A14"/>
          <w:lang w:val="en-US" w:eastAsia="en-US"/>
        </w:rPr>
        <w:t>:</w:t>
      </w:r>
    </w:p>
    <w:p w:rsidR="00B87B77" w:rsidRPr="00B87B77" w:rsidRDefault="00B87B77" w:rsidP="00B87B77">
      <w:pPr>
        <w:pStyle w:val="PrformatHTML"/>
        <w:ind w:hanging="284"/>
        <w:rPr>
          <w:rFonts w:ascii="Arial" w:eastAsia="Arial" w:hAnsi="Arial" w:cs="Arial"/>
          <w:b/>
          <w:bCs/>
          <w:color w:val="BF5A14"/>
          <w:lang w:val="en-US" w:eastAsia="en-US"/>
        </w:rPr>
      </w:pPr>
    </w:p>
    <w:p w:rsidR="0035673A" w:rsidRPr="00E952F9" w:rsidRDefault="0035673A" w:rsidP="00B87B77">
      <w:pPr>
        <w:pStyle w:val="Paragraphedeliste"/>
        <w:numPr>
          <w:ilvl w:val="0"/>
          <w:numId w:val="1"/>
        </w:numPr>
        <w:spacing w:after="0" w:line="240" w:lineRule="auto"/>
        <w:ind w:right="-284"/>
        <w:jc w:val="both"/>
        <w:rPr>
          <w:rFonts w:cs="Calibri"/>
          <w:sz w:val="18"/>
          <w:lang w:val="en-US"/>
        </w:rPr>
      </w:pPr>
      <w:proofErr w:type="spellStart"/>
      <w:r w:rsidRPr="00E952F9">
        <w:rPr>
          <w:rFonts w:cs="Calibri"/>
          <w:sz w:val="18"/>
          <w:lang w:val="en-US"/>
        </w:rPr>
        <w:t>Dje</w:t>
      </w:r>
      <w:proofErr w:type="spellEnd"/>
      <w:r w:rsidRPr="00E952F9">
        <w:rPr>
          <w:rFonts w:cs="Calibri"/>
          <w:sz w:val="18"/>
          <w:lang w:val="en-US"/>
        </w:rPr>
        <w:t xml:space="preserve"> B, Kouamé K, </w:t>
      </w:r>
      <w:proofErr w:type="spellStart"/>
      <w:r w:rsidRPr="00E952F9">
        <w:rPr>
          <w:rFonts w:cs="Calibri"/>
          <w:sz w:val="18"/>
          <w:lang w:val="en-US"/>
        </w:rPr>
        <w:t>Baudoin</w:t>
      </w:r>
      <w:proofErr w:type="spellEnd"/>
      <w:r w:rsidRPr="00E952F9">
        <w:rPr>
          <w:rFonts w:cs="Calibri"/>
          <w:sz w:val="18"/>
          <w:lang w:val="en-US"/>
        </w:rPr>
        <w:t xml:space="preserve"> J, </w:t>
      </w:r>
      <w:proofErr w:type="spellStart"/>
      <w:r w:rsidRPr="00E952F9">
        <w:rPr>
          <w:rFonts w:cs="Calibri"/>
          <w:sz w:val="18"/>
          <w:lang w:val="en-US"/>
        </w:rPr>
        <w:t>Zoro</w:t>
      </w:r>
      <w:proofErr w:type="spellEnd"/>
      <w:r w:rsidRPr="00E952F9">
        <w:rPr>
          <w:rFonts w:cs="Calibri"/>
          <w:sz w:val="18"/>
          <w:lang w:val="en-US"/>
        </w:rPr>
        <w:t xml:space="preserve"> B. 2011. Effets de la saison de culture et de la densité des plants sur les adventices et la production de la cucurbite oléagineuse </w:t>
      </w:r>
      <w:proofErr w:type="spellStart"/>
      <w:r w:rsidRPr="00E952F9">
        <w:rPr>
          <w:rFonts w:cs="Calibri"/>
          <w:sz w:val="18"/>
          <w:lang w:val="en-US"/>
        </w:rPr>
        <w:t>citrullus</w:t>
      </w:r>
      <w:proofErr w:type="spellEnd"/>
      <w:r w:rsidRPr="00E952F9">
        <w:rPr>
          <w:rFonts w:cs="Calibri"/>
          <w:sz w:val="18"/>
          <w:lang w:val="en-US"/>
        </w:rPr>
        <w:t xml:space="preserve"> </w:t>
      </w:r>
      <w:proofErr w:type="spellStart"/>
      <w:r w:rsidRPr="00E952F9">
        <w:rPr>
          <w:rFonts w:cs="Calibri"/>
          <w:sz w:val="18"/>
          <w:lang w:val="en-US"/>
        </w:rPr>
        <w:t>lanatus</w:t>
      </w:r>
      <w:proofErr w:type="spellEnd"/>
      <w:r w:rsidRPr="00E952F9">
        <w:rPr>
          <w:rFonts w:cs="Calibri"/>
          <w:sz w:val="18"/>
          <w:lang w:val="en-US"/>
        </w:rPr>
        <w:t xml:space="preserve"> (</w:t>
      </w:r>
      <w:proofErr w:type="spellStart"/>
      <w:r w:rsidRPr="00E952F9">
        <w:rPr>
          <w:rFonts w:cs="Calibri"/>
          <w:sz w:val="18"/>
          <w:lang w:val="en-US"/>
        </w:rPr>
        <w:t>thunberg</w:t>
      </w:r>
      <w:proofErr w:type="spellEnd"/>
      <w:r w:rsidRPr="00E952F9">
        <w:rPr>
          <w:rFonts w:cs="Calibri"/>
          <w:sz w:val="18"/>
          <w:lang w:val="en-US"/>
        </w:rPr>
        <w:t xml:space="preserve">) ; Sciences &amp; Nature, 8 : 85 – 93. </w:t>
      </w:r>
    </w:p>
    <w:p w:rsidR="006176F1" w:rsidRPr="00E952F9" w:rsidRDefault="0035673A" w:rsidP="00B87B77">
      <w:pPr>
        <w:pStyle w:val="Paragraphedeliste"/>
        <w:numPr>
          <w:ilvl w:val="0"/>
          <w:numId w:val="1"/>
        </w:numPr>
        <w:spacing w:after="0" w:line="240" w:lineRule="auto"/>
        <w:ind w:right="-284"/>
        <w:jc w:val="both"/>
        <w:rPr>
          <w:rFonts w:cs="Calibri"/>
          <w:sz w:val="18"/>
          <w:lang w:val="en-US"/>
        </w:rPr>
      </w:pPr>
      <w:proofErr w:type="spellStart"/>
      <w:r w:rsidRPr="00E952F9">
        <w:rPr>
          <w:rFonts w:cs="Calibri"/>
          <w:sz w:val="18"/>
          <w:lang w:val="en-US"/>
        </w:rPr>
        <w:t>Fondio</w:t>
      </w:r>
      <w:proofErr w:type="spellEnd"/>
      <w:r w:rsidRPr="00E952F9">
        <w:rPr>
          <w:rFonts w:cs="Calibri"/>
          <w:sz w:val="18"/>
          <w:lang w:val="en-US"/>
        </w:rPr>
        <w:t xml:space="preserve"> L, Christophe K, André D, Traoré D. 2011. Caractérisation des systèmes de culture intégrant le Gombo dans le maraichage urbain et périurbain de Bouaké dans le centre de la Côte d’Ivoire. Int. J. </w:t>
      </w:r>
      <w:proofErr w:type="spellStart"/>
      <w:r w:rsidRPr="00E952F9">
        <w:rPr>
          <w:rFonts w:cs="Calibri"/>
          <w:sz w:val="18"/>
          <w:lang w:val="en-US"/>
        </w:rPr>
        <w:t>Biol</w:t>
      </w:r>
      <w:proofErr w:type="spellEnd"/>
      <w:r w:rsidRPr="00E952F9">
        <w:rPr>
          <w:rFonts w:cs="Calibri"/>
          <w:sz w:val="18"/>
          <w:lang w:val="en-US"/>
        </w:rPr>
        <w:t xml:space="preserve">. </w:t>
      </w:r>
      <w:proofErr w:type="spellStart"/>
      <w:r w:rsidRPr="00E952F9">
        <w:rPr>
          <w:rFonts w:cs="Calibri"/>
          <w:sz w:val="18"/>
          <w:lang w:val="en-US"/>
        </w:rPr>
        <w:t>Chem</w:t>
      </w:r>
      <w:proofErr w:type="spellEnd"/>
      <w:r w:rsidRPr="00E952F9">
        <w:rPr>
          <w:rFonts w:cs="Calibri"/>
          <w:sz w:val="18"/>
          <w:lang w:val="en-US"/>
        </w:rPr>
        <w:t xml:space="preserve">. </w:t>
      </w:r>
      <w:proofErr w:type="spellStart"/>
      <w:r w:rsidRPr="00E952F9">
        <w:rPr>
          <w:rFonts w:cs="Calibri"/>
          <w:sz w:val="18"/>
          <w:lang w:val="en-US"/>
        </w:rPr>
        <w:t>Sci</w:t>
      </w:r>
      <w:proofErr w:type="spellEnd"/>
      <w:r w:rsidRPr="00E952F9">
        <w:rPr>
          <w:rFonts w:cs="Calibri"/>
          <w:sz w:val="18"/>
          <w:lang w:val="en-US"/>
        </w:rPr>
        <w:t xml:space="preserve">., 3: 1178-1189.  </w:t>
      </w:r>
    </w:p>
    <w:p w:rsidR="0035673A" w:rsidRPr="00E952F9" w:rsidRDefault="0035673A" w:rsidP="00B87B77">
      <w:pPr>
        <w:pStyle w:val="Paragraphedeliste"/>
        <w:numPr>
          <w:ilvl w:val="0"/>
          <w:numId w:val="1"/>
        </w:numPr>
        <w:spacing w:after="0" w:line="240" w:lineRule="auto"/>
        <w:ind w:right="-284"/>
        <w:jc w:val="both"/>
        <w:rPr>
          <w:rFonts w:cs="Calibri"/>
          <w:sz w:val="18"/>
          <w:lang w:val="en-US"/>
        </w:rPr>
      </w:pPr>
      <w:proofErr w:type="spellStart"/>
      <w:r w:rsidRPr="00E952F9">
        <w:rPr>
          <w:rFonts w:cs="Calibri"/>
          <w:sz w:val="18"/>
          <w:lang w:val="en-US"/>
        </w:rPr>
        <w:t>Fondio</w:t>
      </w:r>
      <w:proofErr w:type="spellEnd"/>
      <w:r w:rsidRPr="00E952F9">
        <w:rPr>
          <w:rFonts w:cs="Calibri"/>
          <w:sz w:val="18"/>
          <w:lang w:val="en-US"/>
        </w:rPr>
        <w:t xml:space="preserve"> L, Christophe K, André D, Traoré D. 2012. Densité de semis, croissance et production de deux lignées de gombo (</w:t>
      </w:r>
      <w:proofErr w:type="spellStart"/>
      <w:r w:rsidRPr="00E952F9">
        <w:rPr>
          <w:rFonts w:cs="Calibri"/>
          <w:sz w:val="18"/>
          <w:lang w:val="en-US"/>
        </w:rPr>
        <w:t>Abelmoschus</w:t>
      </w:r>
      <w:proofErr w:type="spellEnd"/>
      <w:r w:rsidRPr="00E952F9">
        <w:rPr>
          <w:rFonts w:cs="Calibri"/>
          <w:sz w:val="18"/>
          <w:lang w:val="en-US"/>
        </w:rPr>
        <w:t xml:space="preserve"> </w:t>
      </w:r>
      <w:proofErr w:type="spellStart"/>
      <w:r w:rsidRPr="00E952F9">
        <w:rPr>
          <w:rFonts w:cs="Calibri"/>
          <w:sz w:val="18"/>
          <w:lang w:val="en-US"/>
        </w:rPr>
        <w:t>spp</w:t>
      </w:r>
      <w:proofErr w:type="spellEnd"/>
      <w:r w:rsidRPr="00E952F9">
        <w:rPr>
          <w:rFonts w:cs="Calibri"/>
          <w:sz w:val="18"/>
          <w:lang w:val="en-US"/>
        </w:rPr>
        <w:t>) en Côte d’Ivoire. Agronomie Africaine, 1 : 13-27.</w:t>
      </w:r>
      <w:r w:rsidRPr="00E952F9">
        <w:rPr>
          <w:rFonts w:cs="Calibri"/>
          <w:sz w:val="18"/>
          <w:lang w:val="en-US"/>
        </w:rPr>
        <w:t xml:space="preserve"> </w:t>
      </w:r>
    </w:p>
    <w:p w:rsidR="0035673A" w:rsidRPr="00E952F9" w:rsidRDefault="0035673A" w:rsidP="00B87B77">
      <w:pPr>
        <w:pStyle w:val="Paragraphedeliste"/>
        <w:numPr>
          <w:ilvl w:val="0"/>
          <w:numId w:val="1"/>
        </w:numPr>
        <w:spacing w:after="0" w:line="240" w:lineRule="auto"/>
        <w:ind w:right="-284"/>
        <w:jc w:val="both"/>
        <w:rPr>
          <w:rFonts w:cs="Calibri"/>
          <w:sz w:val="18"/>
          <w:lang w:val="en-US"/>
        </w:rPr>
      </w:pPr>
      <w:proofErr w:type="spellStart"/>
      <w:r w:rsidRPr="00E952F9">
        <w:rPr>
          <w:rFonts w:cs="Calibri"/>
          <w:sz w:val="18"/>
          <w:lang w:val="en-US"/>
        </w:rPr>
        <w:t>Gaunt</w:t>
      </w:r>
      <w:proofErr w:type="spellEnd"/>
      <w:r w:rsidRPr="00E952F9">
        <w:rPr>
          <w:rFonts w:cs="Calibri"/>
          <w:sz w:val="18"/>
          <w:lang w:val="en-US"/>
        </w:rPr>
        <w:t xml:space="preserve">, Lehmann 2008. Energy balance and emissions associated with </w:t>
      </w:r>
      <w:proofErr w:type="spellStart"/>
      <w:r w:rsidRPr="00E952F9">
        <w:rPr>
          <w:rFonts w:cs="Calibri"/>
          <w:sz w:val="18"/>
          <w:lang w:val="en-US"/>
        </w:rPr>
        <w:t>biochar</w:t>
      </w:r>
      <w:proofErr w:type="spellEnd"/>
      <w:r w:rsidRPr="00E952F9">
        <w:rPr>
          <w:rFonts w:cs="Calibri"/>
          <w:sz w:val="18"/>
          <w:lang w:val="en-US"/>
        </w:rPr>
        <w:t xml:space="preserve"> sequestration and pyrolysis bioenergy production. Environmental Science &amp; Technology, 42: 4152-4158.</w:t>
      </w:r>
    </w:p>
    <w:p w:rsidR="006176F1" w:rsidRDefault="0035673A" w:rsidP="00B87B77">
      <w:pPr>
        <w:pStyle w:val="Paragraphedeliste"/>
        <w:numPr>
          <w:ilvl w:val="0"/>
          <w:numId w:val="1"/>
        </w:numPr>
        <w:spacing w:after="0" w:line="240" w:lineRule="auto"/>
        <w:ind w:right="-284"/>
        <w:jc w:val="both"/>
        <w:rPr>
          <w:rFonts w:cs="Calibri"/>
          <w:sz w:val="18"/>
          <w:lang w:val="en-US"/>
        </w:rPr>
      </w:pPr>
      <w:r w:rsidRPr="00E952F9">
        <w:rPr>
          <w:rFonts w:cs="Calibri"/>
          <w:sz w:val="18"/>
          <w:lang w:val="en-US"/>
        </w:rPr>
        <w:t xml:space="preserve">Laird, Fleming, Wang, Horton, </w:t>
      </w:r>
      <w:proofErr w:type="spellStart"/>
      <w:r w:rsidRPr="00E952F9">
        <w:rPr>
          <w:rFonts w:cs="Calibri"/>
          <w:sz w:val="18"/>
          <w:lang w:val="en-US"/>
        </w:rPr>
        <w:t>Karlen</w:t>
      </w:r>
      <w:proofErr w:type="spellEnd"/>
      <w:r w:rsidRPr="00E952F9">
        <w:rPr>
          <w:rFonts w:cs="Calibri"/>
          <w:sz w:val="18"/>
          <w:lang w:val="en-US"/>
        </w:rPr>
        <w:t xml:space="preserve"> 2010. </w:t>
      </w:r>
      <w:proofErr w:type="spellStart"/>
      <w:r w:rsidRPr="00E952F9">
        <w:rPr>
          <w:rFonts w:cs="Calibri"/>
          <w:sz w:val="18"/>
          <w:lang w:val="en-US"/>
        </w:rPr>
        <w:t>Biochar</w:t>
      </w:r>
      <w:proofErr w:type="spellEnd"/>
      <w:r w:rsidRPr="00E952F9">
        <w:rPr>
          <w:rFonts w:cs="Calibri"/>
          <w:sz w:val="18"/>
          <w:lang w:val="en-US"/>
        </w:rPr>
        <w:t xml:space="preserve"> impact on nutrient leaching from a Midwestern agricultural soil; </w:t>
      </w:r>
      <w:proofErr w:type="spellStart"/>
      <w:r w:rsidRPr="00E952F9">
        <w:rPr>
          <w:rFonts w:cs="Calibri"/>
          <w:sz w:val="18"/>
          <w:lang w:val="en-US"/>
        </w:rPr>
        <w:t>Geoderma</w:t>
      </w:r>
      <w:proofErr w:type="spellEnd"/>
      <w:r w:rsidRPr="00E952F9">
        <w:rPr>
          <w:rFonts w:cs="Calibri"/>
          <w:sz w:val="18"/>
          <w:lang w:val="en-US"/>
        </w:rPr>
        <w:t xml:space="preserve">, 158: 436-442. </w:t>
      </w:r>
    </w:p>
    <w:p w:rsidR="00B87B77" w:rsidRDefault="00B87B77" w:rsidP="00B87B77">
      <w:pPr>
        <w:pStyle w:val="Paragraphedeliste"/>
        <w:spacing w:after="0" w:line="240" w:lineRule="auto"/>
        <w:ind w:left="76" w:right="-284"/>
        <w:jc w:val="both"/>
        <w:rPr>
          <w:rFonts w:cs="Calibri"/>
          <w:sz w:val="18"/>
          <w:lang w:val="en-US"/>
        </w:rPr>
        <w:sectPr w:rsidR="00B87B77" w:rsidSect="00B87B77">
          <w:type w:val="continuous"/>
          <w:pgSz w:w="11906" w:h="16838"/>
          <w:pgMar w:top="1417" w:right="1417" w:bottom="1417" w:left="1417" w:header="708" w:footer="708" w:gutter="0"/>
          <w:cols w:num="2" w:space="708"/>
          <w:docGrid w:linePitch="360"/>
        </w:sectPr>
      </w:pPr>
    </w:p>
    <w:p w:rsidR="00177D43" w:rsidRDefault="00177D43" w:rsidP="00B87B77">
      <w:pPr>
        <w:pStyle w:val="Paragraphedeliste"/>
        <w:spacing w:after="0" w:line="240" w:lineRule="auto"/>
        <w:ind w:left="76" w:right="-284"/>
        <w:jc w:val="both"/>
        <w:rPr>
          <w:noProof/>
          <w:sz w:val="4"/>
          <w:lang w:eastAsia="fr-FR"/>
        </w:rPr>
      </w:pPr>
    </w:p>
    <w:p w:rsidR="00177D43" w:rsidRDefault="00177D43" w:rsidP="00B87B77">
      <w:pPr>
        <w:pStyle w:val="Paragraphedeliste"/>
        <w:spacing w:after="0" w:line="240" w:lineRule="auto"/>
        <w:ind w:left="76" w:right="-284"/>
        <w:jc w:val="both"/>
        <w:rPr>
          <w:noProof/>
          <w:sz w:val="4"/>
          <w:lang w:eastAsia="fr-FR"/>
        </w:rPr>
      </w:pPr>
    </w:p>
    <w:p w:rsidR="00177D43" w:rsidRDefault="00177D43" w:rsidP="00B87B77">
      <w:pPr>
        <w:pStyle w:val="Paragraphedeliste"/>
        <w:spacing w:after="0" w:line="240" w:lineRule="auto"/>
        <w:ind w:left="76" w:right="-284"/>
        <w:jc w:val="both"/>
        <w:rPr>
          <w:noProof/>
          <w:sz w:val="4"/>
          <w:lang w:eastAsia="fr-FR"/>
        </w:rPr>
      </w:pPr>
    </w:p>
    <w:p w:rsidR="00177D43" w:rsidRDefault="00177D43" w:rsidP="00B87B77">
      <w:pPr>
        <w:pStyle w:val="Paragraphedeliste"/>
        <w:spacing w:after="0" w:line="240" w:lineRule="auto"/>
        <w:ind w:left="76" w:right="-284"/>
        <w:jc w:val="both"/>
        <w:rPr>
          <w:noProof/>
          <w:sz w:val="4"/>
          <w:lang w:eastAsia="fr-FR"/>
        </w:rPr>
      </w:pPr>
    </w:p>
    <w:p w:rsidR="00177D43" w:rsidRDefault="00177D43" w:rsidP="00B87B77">
      <w:pPr>
        <w:pStyle w:val="Paragraphedeliste"/>
        <w:spacing w:after="0" w:line="240" w:lineRule="auto"/>
        <w:ind w:left="76" w:right="-284"/>
        <w:jc w:val="both"/>
        <w:rPr>
          <w:noProof/>
          <w:sz w:val="4"/>
          <w:lang w:eastAsia="fr-FR"/>
        </w:rPr>
      </w:pPr>
    </w:p>
    <w:p w:rsidR="00177D43" w:rsidRDefault="00177D43" w:rsidP="00B87B77">
      <w:pPr>
        <w:pStyle w:val="Paragraphedeliste"/>
        <w:spacing w:after="0" w:line="240" w:lineRule="auto"/>
        <w:ind w:left="76" w:right="-284"/>
        <w:jc w:val="both"/>
        <w:rPr>
          <w:noProof/>
          <w:sz w:val="4"/>
          <w:lang w:eastAsia="fr-FR"/>
        </w:rPr>
      </w:pPr>
      <w:r>
        <w:rPr>
          <w:noProof/>
          <w:sz w:val="4"/>
          <w:lang w:eastAsia="fr-FR"/>
        </w:rPr>
        <mc:AlternateContent>
          <mc:Choice Requires="wpg">
            <w:drawing>
              <wp:inline distT="0" distB="0" distL="0" distR="0" wp14:anchorId="3CAAC057" wp14:editId="7DA19894">
                <wp:extent cx="5543550" cy="45719"/>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3550" cy="45719"/>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DC9966" id="Group 4" o:spid="_x0000_s1026" style="width:436.5pt;height:3.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77D43" w:rsidRDefault="00177D43" w:rsidP="00B87B77">
      <w:pPr>
        <w:pStyle w:val="Paragraphedeliste"/>
        <w:spacing w:after="0" w:line="240" w:lineRule="auto"/>
        <w:ind w:left="76" w:right="-284"/>
        <w:jc w:val="both"/>
        <w:rPr>
          <w:noProof/>
          <w:sz w:val="4"/>
          <w:lang w:eastAsia="fr-FR"/>
        </w:rPr>
      </w:pPr>
    </w:p>
    <w:p w:rsidR="00177D43" w:rsidRDefault="00177D43" w:rsidP="00B87B77">
      <w:pPr>
        <w:pStyle w:val="Paragraphedeliste"/>
        <w:spacing w:after="0" w:line="240" w:lineRule="auto"/>
        <w:ind w:left="76" w:right="-284"/>
        <w:jc w:val="both"/>
        <w:rPr>
          <w:noProof/>
          <w:sz w:val="4"/>
          <w:lang w:eastAsia="fr-FR"/>
        </w:rPr>
      </w:pPr>
    </w:p>
    <w:p w:rsidR="00B87B77" w:rsidRPr="00E952F9" w:rsidRDefault="00B87B77" w:rsidP="00B87B77">
      <w:pPr>
        <w:pStyle w:val="Paragraphedeliste"/>
        <w:spacing w:after="0" w:line="240" w:lineRule="auto"/>
        <w:ind w:left="76" w:right="-284"/>
        <w:jc w:val="both"/>
        <w:rPr>
          <w:rFonts w:cs="Calibri"/>
          <w:sz w:val="18"/>
          <w:lang w:val="en-US"/>
        </w:rPr>
      </w:pPr>
    </w:p>
    <w:p w:rsidR="0035673A" w:rsidRPr="00B87B77" w:rsidRDefault="006176F1" w:rsidP="006176F1">
      <w:pPr>
        <w:spacing w:after="0" w:line="360" w:lineRule="auto"/>
        <w:ind w:left="-284" w:right="-284"/>
        <w:jc w:val="both"/>
        <w:rPr>
          <w:rFonts w:ascii="Arial" w:eastAsia="Arial" w:hAnsi="Arial" w:cs="Arial"/>
          <w:b/>
          <w:bCs/>
          <w:color w:val="BF5A14"/>
          <w:sz w:val="20"/>
          <w:szCs w:val="20"/>
          <w:lang w:val="en-US"/>
        </w:rPr>
      </w:pPr>
      <w:r w:rsidRPr="00B87B77">
        <w:rPr>
          <w:rFonts w:ascii="Arial"/>
          <w:color w:val="BF5A14"/>
          <w:lang w:val="en-US"/>
        </w:rPr>
        <w:t xml:space="preserve">     </w:t>
      </w:r>
      <w:r w:rsidR="00392D5A" w:rsidRPr="003771BE">
        <w:rPr>
          <w:noProof/>
          <w:lang w:eastAsia="fr-FR"/>
        </w:rPr>
        <w:drawing>
          <wp:inline distT="0" distB="0" distL="0" distR="0" wp14:anchorId="5B07BEE7" wp14:editId="53339CED">
            <wp:extent cx="1181100" cy="1133475"/>
            <wp:effectExtent l="0" t="0" r="0" b="9525"/>
            <wp:docPr id="5" name="Image 5" descr="C:\Users\Christine\Desktop\Mr et Mme Kouamé\maxi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ine\Desktop\Mr et Mme Kouamé\maximm.jpg"/>
                    <pic:cNvPicPr>
                      <a:picLocks noChangeAspect="1" noChangeArrowheads="1"/>
                    </pic:cNvPicPr>
                  </pic:nvPicPr>
                  <pic:blipFill>
                    <a:blip r:embed="rId5" cstate="print"/>
                    <a:srcRect/>
                    <a:stretch>
                      <a:fillRect/>
                    </a:stretch>
                  </pic:blipFill>
                  <pic:spPr bwMode="auto">
                    <a:xfrm>
                      <a:off x="0" y="0"/>
                      <a:ext cx="1181100" cy="1133475"/>
                    </a:xfrm>
                    <a:prstGeom prst="rect">
                      <a:avLst/>
                    </a:prstGeom>
                    <a:noFill/>
                    <a:ln w="9525">
                      <a:noFill/>
                      <a:miter lim="800000"/>
                      <a:headEnd/>
                      <a:tailEnd/>
                    </a:ln>
                  </pic:spPr>
                </pic:pic>
              </a:graphicData>
            </a:graphic>
          </wp:inline>
        </w:drawing>
      </w:r>
      <w:r w:rsidRPr="00B87B77">
        <w:rPr>
          <w:rFonts w:ascii="Arial"/>
          <w:color w:val="BF5A14"/>
          <w:lang w:val="en-US"/>
        </w:rPr>
        <w:t xml:space="preserve"> </w:t>
      </w:r>
      <w:r w:rsidR="00392D5A" w:rsidRPr="00B87B77">
        <w:rPr>
          <w:rFonts w:ascii="Arial"/>
          <w:color w:val="BF5A14"/>
          <w:lang w:val="en-US"/>
        </w:rPr>
        <w:t xml:space="preserve"> </w:t>
      </w:r>
      <w:r w:rsidR="00392D5A" w:rsidRPr="00B87B77">
        <w:rPr>
          <w:rFonts w:ascii="Arial" w:eastAsia="Arial" w:hAnsi="Arial" w:cs="Arial"/>
          <w:b/>
          <w:bCs/>
          <w:color w:val="BF5A14"/>
          <w:sz w:val="20"/>
          <w:szCs w:val="20"/>
          <w:lang w:val="en-US"/>
        </w:rPr>
        <w:t>Biography</w:t>
      </w:r>
    </w:p>
    <w:p w:rsidR="00572F02" w:rsidRPr="00572F02" w:rsidRDefault="00572F02" w:rsidP="00572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Courier New" w:eastAsia="Times New Roman" w:hAnsi="Courier New" w:cs="Courier New"/>
          <w:sz w:val="20"/>
          <w:szCs w:val="20"/>
          <w:lang w:val="en-US" w:eastAsia="fr-FR"/>
        </w:rPr>
      </w:pPr>
      <w:proofErr w:type="spellStart"/>
      <w:r w:rsidRPr="00572F02">
        <w:rPr>
          <w:rFonts w:ascii="Arial" w:eastAsia="Tw Cen MT" w:hAnsi="Tw Cen MT" w:cs="Tw Cen MT"/>
          <w:sz w:val="14"/>
          <w:lang w:val="en-US"/>
        </w:rPr>
        <w:t>Dr</w:t>
      </w:r>
      <w:proofErr w:type="spellEnd"/>
      <w:r w:rsidRPr="00572F02">
        <w:rPr>
          <w:rFonts w:ascii="Arial" w:eastAsia="Tw Cen MT" w:hAnsi="Tw Cen MT" w:cs="Tw Cen MT"/>
          <w:sz w:val="14"/>
          <w:lang w:val="en-US"/>
        </w:rPr>
        <w:t xml:space="preserve"> KOUAME N'guessan is an expert in agronomy and modeling. He is an </w:t>
      </w:r>
      <w:proofErr w:type="spellStart"/>
      <w:r w:rsidRPr="00572F02">
        <w:rPr>
          <w:rFonts w:ascii="Arial" w:eastAsia="Tw Cen MT" w:hAnsi="Tw Cen MT" w:cs="Tw Cen MT"/>
          <w:sz w:val="14"/>
          <w:lang w:val="en-US"/>
        </w:rPr>
        <w:t>agrophysiologist</w:t>
      </w:r>
      <w:proofErr w:type="spellEnd"/>
      <w:r w:rsidRPr="00572F02">
        <w:rPr>
          <w:rFonts w:ascii="Arial" w:eastAsia="Tw Cen MT" w:hAnsi="Tw Cen MT" w:cs="Tw Cen MT"/>
          <w:sz w:val="14"/>
          <w:lang w:val="en-US"/>
        </w:rPr>
        <w:t xml:space="preserve"> with the option of studying the agronomic modeling of plant growth and development. He is a teacher-researcher at the Jean </w:t>
      </w:r>
      <w:proofErr w:type="spellStart"/>
      <w:r w:rsidRPr="00572F02">
        <w:rPr>
          <w:rFonts w:ascii="Arial" w:eastAsia="Tw Cen MT" w:hAnsi="Tw Cen MT" w:cs="Tw Cen MT"/>
          <w:sz w:val="14"/>
          <w:lang w:val="en-US"/>
        </w:rPr>
        <w:t>Lorougnon</w:t>
      </w:r>
      <w:proofErr w:type="spellEnd"/>
      <w:r w:rsidRPr="00572F02">
        <w:rPr>
          <w:rFonts w:ascii="Arial" w:eastAsia="Tw Cen MT" w:hAnsi="Tw Cen MT" w:cs="Tw Cen MT"/>
          <w:sz w:val="14"/>
          <w:lang w:val="en-US"/>
        </w:rPr>
        <w:t xml:space="preserve"> GUEDE University in </w:t>
      </w:r>
      <w:proofErr w:type="spellStart"/>
      <w:r w:rsidRPr="00572F02">
        <w:rPr>
          <w:rFonts w:ascii="Arial" w:eastAsia="Tw Cen MT" w:hAnsi="Tw Cen MT" w:cs="Tw Cen MT"/>
          <w:sz w:val="14"/>
          <w:lang w:val="en-US"/>
        </w:rPr>
        <w:t>Daloa</w:t>
      </w:r>
      <w:proofErr w:type="spellEnd"/>
      <w:r w:rsidRPr="00572F02">
        <w:rPr>
          <w:rFonts w:ascii="Arial" w:eastAsia="Tw Cen MT" w:hAnsi="Tw Cen MT" w:cs="Tw Cen MT"/>
          <w:sz w:val="14"/>
          <w:lang w:val="en-US"/>
        </w:rPr>
        <w:t>, C</w:t>
      </w:r>
      <w:r w:rsidRPr="00572F02">
        <w:rPr>
          <w:rFonts w:ascii="Arial" w:eastAsia="Tw Cen MT" w:hAnsi="Tw Cen MT" w:cs="Tw Cen MT"/>
          <w:sz w:val="14"/>
          <w:lang w:val="en-US"/>
        </w:rPr>
        <w:t>ô</w:t>
      </w:r>
      <w:r w:rsidRPr="00572F02">
        <w:rPr>
          <w:rFonts w:ascii="Arial" w:eastAsia="Tw Cen MT" w:hAnsi="Tw Cen MT" w:cs="Tw Cen MT"/>
          <w:sz w:val="14"/>
          <w:lang w:val="en-US"/>
        </w:rPr>
        <w:t>te d'Ivoire where he has supervised several students in the field of agriculture. He holds a book published by the European University Editions in 2015. He has published several articles in major newspapers. He is married with four children. He has participated in a number of conferences in African countries, where he has lectured, presented results of research projects and posters. He is a member of the Association of Teacher-Researchers of West Africa (SOACHIM).</w:t>
      </w:r>
    </w:p>
    <w:p w:rsidR="00572F02" w:rsidRPr="00B87B77" w:rsidRDefault="00572F02" w:rsidP="00B87B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4"/>
        <w:jc w:val="both"/>
        <w:rPr>
          <w:rFonts w:ascii="Arial" w:eastAsia="Tw Cen MT" w:hAnsi="Tw Cen MT" w:cs="Tw Cen MT"/>
          <w:sz w:val="14"/>
          <w:lang w:val="en-US"/>
        </w:rPr>
      </w:pPr>
    </w:p>
    <w:sectPr w:rsidR="00572F02" w:rsidRPr="00B87B77" w:rsidSect="00B87B77">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C35A9"/>
    <w:multiLevelType w:val="hybridMultilevel"/>
    <w:tmpl w:val="76D444B0"/>
    <w:lvl w:ilvl="0" w:tplc="A7C227A6">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F42"/>
    <w:rsid w:val="00177D43"/>
    <w:rsid w:val="00234C98"/>
    <w:rsid w:val="0035673A"/>
    <w:rsid w:val="00392D5A"/>
    <w:rsid w:val="00572F02"/>
    <w:rsid w:val="006176F1"/>
    <w:rsid w:val="006917FF"/>
    <w:rsid w:val="0094570B"/>
    <w:rsid w:val="00B56653"/>
    <w:rsid w:val="00B87B77"/>
    <w:rsid w:val="00CF133C"/>
    <w:rsid w:val="00D55F42"/>
    <w:rsid w:val="00E61EDD"/>
    <w:rsid w:val="00E952F9"/>
    <w:rsid w:val="00EF2264"/>
    <w:rsid w:val="00F27A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D5E9A9-7078-4538-825E-05F7BA315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42"/>
    <w:pPr>
      <w:spacing w:after="200" w:line="27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unhideWhenUsed/>
    <w:rsid w:val="00D55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D55F42"/>
    <w:rPr>
      <w:rFonts w:ascii="Courier New" w:eastAsia="Times New Roman" w:hAnsi="Courier New" w:cs="Courier New"/>
      <w:sz w:val="20"/>
      <w:szCs w:val="20"/>
      <w:lang w:eastAsia="fr-FR"/>
    </w:rPr>
  </w:style>
  <w:style w:type="character" w:customStyle="1" w:styleId="longtext">
    <w:name w:val="long_text"/>
    <w:basedOn w:val="Policepardfaut"/>
    <w:rsid w:val="00D55F42"/>
  </w:style>
  <w:style w:type="character" w:styleId="Lienhypertexte">
    <w:name w:val="Hyperlink"/>
    <w:basedOn w:val="Policepardfaut"/>
    <w:uiPriority w:val="99"/>
    <w:unhideWhenUsed/>
    <w:rsid w:val="0035673A"/>
    <w:rPr>
      <w:color w:val="0563C1" w:themeColor="hyperlink"/>
      <w:u w:val="single"/>
    </w:rPr>
  </w:style>
  <w:style w:type="paragraph" w:styleId="Paragraphedeliste">
    <w:name w:val="List Paragraph"/>
    <w:basedOn w:val="Normal"/>
    <w:uiPriority w:val="34"/>
    <w:qFormat/>
    <w:rsid w:val="006176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0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550</Words>
  <Characters>3026</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2</cp:revision>
  <dcterms:created xsi:type="dcterms:W3CDTF">2017-08-09T17:20:00Z</dcterms:created>
  <dcterms:modified xsi:type="dcterms:W3CDTF">2017-08-09T17:20:00Z</dcterms:modified>
</cp:coreProperties>
</file>