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50A5" w:rsidRPr="00796414" w:rsidRDefault="005E50A5" w:rsidP="005E50A5">
      <w:pPr>
        <w:rPr>
          <w:rFonts w:ascii="Minion Pro" w:eastAsia="Times New Roman" w:hAnsi="Minion Pro"/>
          <w:b/>
          <w:bCs/>
          <w:color w:val="4F81BD" w:themeColor="accent1"/>
          <w:sz w:val="36"/>
          <w:szCs w:val="36"/>
          <w:lang w:eastAsia="en-GB"/>
        </w:rPr>
      </w:pPr>
      <w:r w:rsidRPr="00796414">
        <w:rPr>
          <w:rFonts w:ascii="Minion Pro" w:eastAsia="Times New Roman" w:hAnsi="Minion Pro"/>
          <w:b/>
          <w:bCs/>
          <w:color w:val="4F81BD" w:themeColor="accent1"/>
          <w:sz w:val="36"/>
          <w:szCs w:val="36"/>
          <w:lang w:eastAsia="en-GB"/>
        </w:rPr>
        <w:t xml:space="preserve">Optimizing Water and Nitrogen Use efficiency of Maize </w:t>
      </w:r>
      <w:r w:rsidR="00796414">
        <w:rPr>
          <w:rFonts w:ascii="Minion Pro" w:eastAsia="Times New Roman" w:hAnsi="Minion Pro"/>
          <w:b/>
          <w:bCs/>
          <w:color w:val="4F81BD" w:themeColor="accent1"/>
          <w:sz w:val="36"/>
          <w:szCs w:val="36"/>
          <w:lang w:eastAsia="en-GB"/>
        </w:rPr>
        <w:t>in Conservation Farming systems</w:t>
      </w:r>
    </w:p>
    <w:p w:rsidR="00796414" w:rsidRDefault="00796414" w:rsidP="005973B9">
      <w:pPr>
        <w:pStyle w:val="BodyText"/>
        <w:spacing w:before="73" w:line="198" w:lineRule="exact"/>
        <w:ind w:left="100" w:right="5987"/>
        <w:rPr>
          <w:rFonts w:ascii="Arial"/>
        </w:rPr>
      </w:pPr>
    </w:p>
    <w:p w:rsidR="005E50A5" w:rsidRDefault="005E50A5" w:rsidP="005973B9">
      <w:pPr>
        <w:pStyle w:val="BodyText"/>
        <w:spacing w:before="73" w:line="198" w:lineRule="exact"/>
        <w:ind w:left="100" w:right="5987"/>
        <w:rPr>
          <w:rFonts w:ascii="Arial"/>
        </w:rPr>
      </w:pPr>
      <w:r>
        <w:rPr>
          <w:rFonts w:ascii="Arial"/>
        </w:rPr>
        <w:t xml:space="preserve">Simunji </w:t>
      </w:r>
      <w:proofErr w:type="spellStart"/>
      <w:r>
        <w:rPr>
          <w:rFonts w:ascii="Arial"/>
        </w:rPr>
        <w:t>Simunji</w:t>
      </w:r>
      <w:proofErr w:type="spellEnd"/>
      <w:r>
        <w:rPr>
          <w:rFonts w:ascii="Arial"/>
        </w:rPr>
        <w:t xml:space="preserve">, PhD </w:t>
      </w:r>
      <w:r w:rsidR="009B6FD9">
        <w:rPr>
          <w:rFonts w:ascii="Arial"/>
        </w:rPr>
        <w:t>Student</w:t>
      </w:r>
      <w:r>
        <w:rPr>
          <w:rFonts w:ascii="Arial"/>
        </w:rPr>
        <w:t xml:space="preserve">, </w:t>
      </w:r>
      <w:r w:rsidR="009B6FD9">
        <w:rPr>
          <w:rFonts w:ascii="Arial"/>
        </w:rPr>
        <w:t>UNZA</w:t>
      </w:r>
      <w:r>
        <w:rPr>
          <w:rFonts w:ascii="Arial"/>
        </w:rPr>
        <w:t>, ZAMBIA</w:t>
      </w:r>
    </w:p>
    <w:p w:rsidR="005E50A5" w:rsidRDefault="005E50A5" w:rsidP="005973B9">
      <w:pPr>
        <w:pStyle w:val="BodyText"/>
        <w:spacing w:before="73" w:line="198" w:lineRule="exact"/>
        <w:ind w:left="100" w:right="5987"/>
        <w:rPr>
          <w:rFonts w:ascii="Arial"/>
        </w:rPr>
      </w:pPr>
      <w:proofErr w:type="spellStart"/>
      <w:r>
        <w:rPr>
          <w:rFonts w:ascii="Arial"/>
        </w:rPr>
        <w:t>Kalaluka</w:t>
      </w:r>
      <w:proofErr w:type="spellEnd"/>
      <w:r>
        <w:rPr>
          <w:rFonts w:ascii="Arial"/>
        </w:rPr>
        <w:t xml:space="preserve"> </w:t>
      </w:r>
      <w:proofErr w:type="spellStart"/>
      <w:r>
        <w:rPr>
          <w:rFonts w:ascii="Arial"/>
        </w:rPr>
        <w:t>Munyinda</w:t>
      </w:r>
      <w:proofErr w:type="spellEnd"/>
      <w:r>
        <w:rPr>
          <w:rFonts w:ascii="Arial"/>
        </w:rPr>
        <w:t>, PhD, UNZA, ZAMBIA</w:t>
      </w:r>
    </w:p>
    <w:p w:rsidR="005E50A5" w:rsidRDefault="005E50A5" w:rsidP="005973B9">
      <w:pPr>
        <w:pStyle w:val="BodyText"/>
        <w:spacing w:before="73" w:line="198" w:lineRule="exact"/>
        <w:ind w:left="100" w:right="5987"/>
        <w:rPr>
          <w:rFonts w:ascii="Arial"/>
        </w:rPr>
      </w:pPr>
      <w:r>
        <w:rPr>
          <w:rFonts w:ascii="Arial"/>
        </w:rPr>
        <w:t>Obed. Lungu, PhD, UNZA, ZAMBIA</w:t>
      </w:r>
    </w:p>
    <w:p w:rsidR="005E50A5" w:rsidRDefault="00412274" w:rsidP="005973B9">
      <w:pPr>
        <w:pStyle w:val="BodyText"/>
        <w:spacing w:before="73" w:line="198" w:lineRule="exact"/>
        <w:ind w:left="100" w:right="5987"/>
        <w:rPr>
          <w:rFonts w:ascii="Arial"/>
        </w:rPr>
      </w:pPr>
      <w:r>
        <w:rPr>
          <w:rFonts w:ascii="Arial"/>
        </w:rPr>
        <w:t>Elijah</w:t>
      </w:r>
      <w:r w:rsidR="005E50A5">
        <w:rPr>
          <w:rFonts w:ascii="Arial"/>
        </w:rPr>
        <w:t xml:space="preserve"> Phiri, PhD, UNZA, ZAMBIA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t>Abstract</w:t>
      </w:r>
      <w:r w:rsidR="00404E5B">
        <w:rPr>
          <w:color w:val="BF5A14"/>
        </w:rPr>
        <w:t xml:space="preserve"> (300 word limit)</w:t>
      </w:r>
    </w:p>
    <w:p w:rsidR="00AE3E37" w:rsidRDefault="00CF36F6" w:rsidP="00CF36F6">
      <w:pPr>
        <w:pStyle w:val="ListParagraph"/>
        <w:ind w:left="0"/>
      </w:pPr>
      <w:r>
        <w:rPr>
          <w:rFonts w:ascii="Tw Cen MT" w:hAnsi="Tw Cen MT"/>
          <w:sz w:val="18"/>
          <w:szCs w:val="18"/>
        </w:rPr>
        <w:t xml:space="preserve">      </w:t>
      </w:r>
      <w:r w:rsidR="00A9710C" w:rsidRPr="00CF36F6">
        <w:rPr>
          <w:rFonts w:ascii="Tw Cen MT" w:hAnsi="Tw Cen MT"/>
          <w:sz w:val="18"/>
          <w:szCs w:val="18"/>
        </w:rPr>
        <w:t>Statement of the Problem:</w:t>
      </w:r>
      <w:r w:rsidR="00F535AB" w:rsidRPr="00CF36F6">
        <w:rPr>
          <w:rFonts w:ascii="Tw Cen MT" w:hAnsi="Tw Cen MT"/>
          <w:i/>
          <w:sz w:val="18"/>
          <w:szCs w:val="18"/>
        </w:rPr>
        <w:t xml:space="preserve"> </w:t>
      </w:r>
      <w:r w:rsidR="00F535AB" w:rsidRPr="00CF36F6">
        <w:rPr>
          <w:rFonts w:ascii="Tw Cen MT" w:hAnsi="Tw Cen MT"/>
          <w:sz w:val="18"/>
          <w:szCs w:val="18"/>
        </w:rPr>
        <w:t>About 80% of the one million five hundred smallholder farmers in Zambia depend on producing maize (</w:t>
      </w:r>
      <w:proofErr w:type="spellStart"/>
      <w:r w:rsidR="00F535AB" w:rsidRPr="00CF36F6">
        <w:rPr>
          <w:rFonts w:ascii="Tw Cen MT" w:hAnsi="Tw Cen MT"/>
          <w:sz w:val="18"/>
          <w:szCs w:val="18"/>
        </w:rPr>
        <w:t>Zea</w:t>
      </w:r>
      <w:proofErr w:type="spellEnd"/>
      <w:r w:rsidR="00F535AB" w:rsidRPr="00CF36F6">
        <w:rPr>
          <w:rFonts w:ascii="Tw Cen MT" w:hAnsi="Tw Cen MT"/>
          <w:sz w:val="18"/>
          <w:szCs w:val="18"/>
        </w:rPr>
        <w:t xml:space="preserve"> mays) which is a major staple food for well over 90% of the Zambians.  Productivity of the maize crop among the smallholder farmers </w:t>
      </w:r>
      <w:r w:rsidR="00741431">
        <w:rPr>
          <w:rFonts w:ascii="Tw Cen MT" w:hAnsi="Tw Cen MT"/>
          <w:sz w:val="18"/>
          <w:szCs w:val="18"/>
        </w:rPr>
        <w:t xml:space="preserve">is </w:t>
      </w:r>
      <w:r w:rsidR="00F535AB" w:rsidRPr="00CF36F6">
        <w:rPr>
          <w:rFonts w:ascii="Tw Cen MT" w:hAnsi="Tw Cen MT"/>
          <w:sz w:val="18"/>
          <w:szCs w:val="18"/>
        </w:rPr>
        <w:t xml:space="preserve">quite low giving a national average yield of 2.3 tons per hectare. The major causes of low yields countrywide are attributed to prolonged droughts, </w:t>
      </w:r>
      <w:r w:rsidR="00F535AB" w:rsidRPr="00CF36F6">
        <w:rPr>
          <w:rFonts w:ascii="Tw Cen MT" w:hAnsi="Tw Cen MT"/>
          <w:sz w:val="18"/>
          <w:szCs w:val="18"/>
        </w:rPr>
        <w:t>low</w:t>
      </w:r>
      <w:r w:rsidR="00F535AB" w:rsidRPr="00CF36F6">
        <w:rPr>
          <w:rFonts w:ascii="Tw Cen MT" w:hAnsi="Tw Cen MT"/>
          <w:sz w:val="18"/>
          <w:szCs w:val="18"/>
        </w:rPr>
        <w:t xml:space="preserve"> soil fertility, insufficient plant nutrients and poor farming practices.</w:t>
      </w:r>
      <w:r w:rsidR="00F535AB" w:rsidRPr="00CF36F6">
        <w:rPr>
          <w:rFonts w:ascii="Tw Cen MT" w:hAnsi="Tw Cen MT"/>
          <w:sz w:val="18"/>
          <w:szCs w:val="18"/>
        </w:rPr>
        <w:t xml:space="preserve"> </w:t>
      </w:r>
      <w:r w:rsidR="00A9710C" w:rsidRPr="00CF36F6">
        <w:rPr>
          <w:rFonts w:ascii="Tw Cen MT" w:hAnsi="Tw Cen MT" w:cs="Times New Roman"/>
          <w:sz w:val="18"/>
          <w:szCs w:val="18"/>
        </w:rPr>
        <w:t>The purpose of this study is to</w:t>
      </w:r>
      <w:r w:rsidR="00404E5B" w:rsidRPr="00CF36F6">
        <w:rPr>
          <w:rFonts w:ascii="Tw Cen MT" w:hAnsi="Tw Cen MT" w:cs="Times New Roman"/>
          <w:sz w:val="18"/>
          <w:szCs w:val="18"/>
        </w:rPr>
        <w:t xml:space="preserve"> </w:t>
      </w:r>
      <w:r w:rsidR="00F535AB" w:rsidRPr="00CF36F6">
        <w:rPr>
          <w:rFonts w:ascii="Tw Cen MT" w:hAnsi="Tw Cen MT" w:cs="Times New Roman"/>
          <w:sz w:val="18"/>
          <w:szCs w:val="18"/>
        </w:rPr>
        <w:t>e</w:t>
      </w:r>
      <w:r w:rsidR="00F535AB" w:rsidRPr="00CF36F6">
        <w:rPr>
          <w:rFonts w:ascii="Tw Cen MT" w:hAnsi="Tw Cen MT" w:cs="Times New Roman"/>
          <w:sz w:val="18"/>
          <w:szCs w:val="18"/>
          <w:lang w:val="en-GB"/>
        </w:rPr>
        <w:t xml:space="preserve">valuate performance of drought and Low N tolerant maize genotypes in </w:t>
      </w:r>
      <w:r w:rsidR="00F535AB" w:rsidRPr="00CF36F6">
        <w:rPr>
          <w:rFonts w:ascii="Tw Cen MT" w:hAnsi="Tw Cen MT" w:cs="Times New Roman"/>
          <w:sz w:val="18"/>
          <w:szCs w:val="18"/>
          <w:lang w:val="en-GB"/>
        </w:rPr>
        <w:t>the conservation farming system and</w:t>
      </w:r>
      <w:r w:rsidR="00F535AB" w:rsidRPr="00CF36F6">
        <w:rPr>
          <w:rFonts w:ascii="Tw Cen MT" w:hAnsi="Tw Cen MT" w:cs="Times New Roman"/>
          <w:sz w:val="18"/>
          <w:szCs w:val="18"/>
          <w:lang w:val="en-GB"/>
        </w:rPr>
        <w:t xml:space="preserve"> </w:t>
      </w:r>
      <w:r w:rsidR="00F535AB" w:rsidRPr="00CF36F6">
        <w:rPr>
          <w:rFonts w:ascii="Tw Cen MT" w:hAnsi="Tw Cen MT" w:cs="Times New Roman"/>
          <w:sz w:val="18"/>
          <w:szCs w:val="18"/>
          <w:lang w:val="en-GB"/>
        </w:rPr>
        <w:t>i</w:t>
      </w:r>
      <w:r w:rsidR="00F535AB" w:rsidRPr="00CF36F6">
        <w:rPr>
          <w:rFonts w:ascii="Tw Cen MT" w:hAnsi="Tw Cen MT" w:cs="Times New Roman"/>
          <w:sz w:val="18"/>
          <w:szCs w:val="18"/>
          <w:lang w:val="en-GB"/>
        </w:rPr>
        <w:t>dentifying maize – cowpea combinations for high maize</w:t>
      </w:r>
      <w:r w:rsidR="00DB07DE" w:rsidRPr="00CF36F6">
        <w:rPr>
          <w:rFonts w:ascii="Tw Cen MT" w:hAnsi="Tw Cen MT" w:cs="Times New Roman"/>
          <w:sz w:val="18"/>
          <w:szCs w:val="18"/>
          <w:lang w:val="en-GB"/>
        </w:rPr>
        <w:t xml:space="preserve"> productivity in the CF system. </w:t>
      </w:r>
      <w:r w:rsidR="00A9710C" w:rsidRPr="00CF36F6">
        <w:rPr>
          <w:rFonts w:ascii="Tw Cen MT" w:hAnsi="Tw Cen MT" w:cs="Times New Roman"/>
          <w:sz w:val="18"/>
          <w:szCs w:val="18"/>
        </w:rPr>
        <w:t>Methodolog</w:t>
      </w:r>
      <w:r w:rsidR="008756E6" w:rsidRPr="00CF36F6">
        <w:rPr>
          <w:rFonts w:ascii="Tw Cen MT" w:hAnsi="Tw Cen MT" w:cs="Times New Roman"/>
          <w:sz w:val="18"/>
          <w:szCs w:val="18"/>
        </w:rPr>
        <w:t xml:space="preserve">y &amp; Theoretical Orientation: </w:t>
      </w:r>
      <w:r w:rsidR="00DB07DE" w:rsidRPr="00CF36F6">
        <w:rPr>
          <w:rFonts w:ascii="Tw Cen MT" w:hAnsi="Tw Cen MT" w:cs="Times New Roman"/>
          <w:sz w:val="18"/>
          <w:szCs w:val="18"/>
        </w:rPr>
        <w:t xml:space="preserve">The trials were established at two sites of different soil types. Three maize varieties ZMS 606, GV 640 and GV 635 were evaluated for water and nitrogen use efficiency under conservation and conventional farming systems. The experimental design used was split plot in a </w:t>
      </w:r>
      <w:proofErr w:type="spellStart"/>
      <w:r w:rsidR="00DB07DE" w:rsidRPr="00CF36F6">
        <w:rPr>
          <w:rFonts w:ascii="Tw Cen MT" w:hAnsi="Tw Cen MT" w:cs="Times New Roman"/>
          <w:sz w:val="18"/>
          <w:szCs w:val="18"/>
        </w:rPr>
        <w:t>Randomised</w:t>
      </w:r>
      <w:proofErr w:type="spellEnd"/>
      <w:r w:rsidR="00DB07DE" w:rsidRPr="00CF36F6">
        <w:rPr>
          <w:rFonts w:ascii="Tw Cen MT" w:hAnsi="Tw Cen MT" w:cs="Times New Roman"/>
          <w:sz w:val="18"/>
          <w:szCs w:val="18"/>
        </w:rPr>
        <w:t xml:space="preserve"> Complete Block Design (RCBD). </w:t>
      </w:r>
      <w:r w:rsidR="00A9710C" w:rsidRPr="00CF36F6">
        <w:rPr>
          <w:rFonts w:ascii="Tw Cen MT" w:hAnsi="Tw Cen MT" w:cs="Times New Roman"/>
          <w:sz w:val="18"/>
          <w:szCs w:val="18"/>
        </w:rPr>
        <w:t xml:space="preserve"> Findings: </w:t>
      </w:r>
      <w:r w:rsidR="00DB07DE" w:rsidRPr="00CF36F6">
        <w:rPr>
          <w:rFonts w:ascii="Tw Cen MT" w:hAnsi="Tw Cen MT" w:cs="Times New Roman"/>
          <w:sz w:val="18"/>
          <w:szCs w:val="18"/>
        </w:rPr>
        <w:t>Between the two sites Chisamba produced higher maize grain yield (7960kgha</w:t>
      </w:r>
      <w:r w:rsidR="00DB07DE" w:rsidRPr="00CF36F6">
        <w:rPr>
          <w:rFonts w:ascii="Tw Cen MT" w:hAnsi="Tw Cen MT" w:cs="Times New Roman"/>
          <w:sz w:val="18"/>
          <w:szCs w:val="18"/>
          <w:vertAlign w:val="superscript"/>
        </w:rPr>
        <w:t>-1</w:t>
      </w:r>
      <w:r w:rsidR="00DB07DE" w:rsidRPr="00CF36F6">
        <w:rPr>
          <w:rFonts w:ascii="Tw Cen MT" w:hAnsi="Tw Cen MT" w:cs="Times New Roman"/>
          <w:sz w:val="18"/>
          <w:szCs w:val="18"/>
        </w:rPr>
        <w:t xml:space="preserve">) than </w:t>
      </w:r>
      <w:proofErr w:type="spellStart"/>
      <w:r w:rsidR="00DB07DE" w:rsidRPr="00CF36F6">
        <w:rPr>
          <w:rFonts w:ascii="Tw Cen MT" w:hAnsi="Tw Cen MT" w:cs="Times New Roman"/>
          <w:sz w:val="18"/>
          <w:szCs w:val="18"/>
        </w:rPr>
        <w:t>Batoka</w:t>
      </w:r>
      <w:proofErr w:type="spellEnd"/>
      <w:r w:rsidR="00DB07DE" w:rsidRPr="00CF36F6">
        <w:rPr>
          <w:rFonts w:ascii="Tw Cen MT" w:hAnsi="Tw Cen MT" w:cs="Times New Roman"/>
          <w:sz w:val="18"/>
          <w:szCs w:val="18"/>
        </w:rPr>
        <w:t xml:space="preserve"> (4453kgha</w:t>
      </w:r>
      <w:r w:rsidR="00DB07DE" w:rsidRPr="00CF36F6">
        <w:rPr>
          <w:rFonts w:ascii="Tw Cen MT" w:hAnsi="Tw Cen MT" w:cs="Times New Roman"/>
          <w:sz w:val="18"/>
          <w:szCs w:val="18"/>
          <w:vertAlign w:val="superscript"/>
        </w:rPr>
        <w:t>-1</w:t>
      </w:r>
      <w:r w:rsidR="00DB07DE" w:rsidRPr="00CF36F6">
        <w:rPr>
          <w:rFonts w:ascii="Tw Cen MT" w:hAnsi="Tw Cen MT" w:cs="Times New Roman"/>
          <w:sz w:val="18"/>
          <w:szCs w:val="18"/>
        </w:rPr>
        <w:t>). Maize grain yield in conservation farming system was significantly higher at P&lt;0.05 by 30% than in conventional farming system. ZMS 606</w:t>
      </w:r>
      <w:r w:rsidR="009B6FD9">
        <w:rPr>
          <w:rFonts w:ascii="Tw Cen MT" w:hAnsi="Tw Cen MT" w:cs="Times New Roman"/>
          <w:sz w:val="18"/>
          <w:szCs w:val="18"/>
        </w:rPr>
        <w:t xml:space="preserve"> and GV 640</w:t>
      </w:r>
      <w:r w:rsidR="00DB07DE" w:rsidRPr="00CF36F6">
        <w:rPr>
          <w:rFonts w:ascii="Tw Cen MT" w:hAnsi="Tw Cen MT" w:cs="Times New Roman"/>
          <w:sz w:val="18"/>
          <w:szCs w:val="18"/>
        </w:rPr>
        <w:t xml:space="preserve"> </w:t>
      </w:r>
      <w:r w:rsidR="009B6FD9">
        <w:rPr>
          <w:rFonts w:ascii="Tw Cen MT" w:hAnsi="Tw Cen MT" w:cs="Times New Roman"/>
          <w:sz w:val="18"/>
          <w:szCs w:val="18"/>
        </w:rPr>
        <w:t>were</w:t>
      </w:r>
      <w:r w:rsidR="00DB07DE" w:rsidRPr="00CF36F6">
        <w:rPr>
          <w:rFonts w:ascii="Tw Cen MT" w:hAnsi="Tw Cen MT" w:cs="Times New Roman"/>
          <w:sz w:val="18"/>
          <w:szCs w:val="18"/>
        </w:rPr>
        <w:t xml:space="preserve"> superior over GV 635 d</w:t>
      </w:r>
      <w:r>
        <w:rPr>
          <w:rFonts w:ascii="Tw Cen MT" w:hAnsi="Tw Cen MT" w:cs="Times New Roman"/>
          <w:sz w:val="18"/>
          <w:szCs w:val="18"/>
        </w:rPr>
        <w:t>uring 2015/2016</w:t>
      </w:r>
      <w:r w:rsidR="009B6FD9">
        <w:rPr>
          <w:rFonts w:ascii="Tw Cen MT" w:hAnsi="Tw Cen MT" w:cs="Times New Roman"/>
          <w:sz w:val="18"/>
          <w:szCs w:val="18"/>
        </w:rPr>
        <w:t xml:space="preserve"> and 2016/17</w:t>
      </w:r>
      <w:r>
        <w:rPr>
          <w:rFonts w:ascii="Tw Cen MT" w:hAnsi="Tw Cen MT" w:cs="Times New Roman"/>
          <w:sz w:val="18"/>
          <w:szCs w:val="18"/>
        </w:rPr>
        <w:t xml:space="preserve"> growing season</w:t>
      </w:r>
      <w:r w:rsidR="009B6FD9">
        <w:rPr>
          <w:rFonts w:ascii="Tw Cen MT" w:hAnsi="Tw Cen MT" w:cs="Times New Roman"/>
          <w:sz w:val="18"/>
          <w:szCs w:val="18"/>
        </w:rPr>
        <w:t>s respectively</w:t>
      </w:r>
      <w:r>
        <w:rPr>
          <w:rFonts w:ascii="Tw Cen MT" w:hAnsi="Tw Cen MT" w:cs="Times New Roman"/>
          <w:sz w:val="18"/>
          <w:szCs w:val="18"/>
        </w:rPr>
        <w:t>.</w:t>
      </w:r>
      <w:r w:rsidR="009B6FD9">
        <w:rPr>
          <w:rFonts w:ascii="Tw Cen MT" w:hAnsi="Tw Cen MT" w:cs="Times New Roman"/>
          <w:sz w:val="18"/>
          <w:szCs w:val="18"/>
        </w:rPr>
        <w:t xml:space="preserve"> </w:t>
      </w:r>
      <w:r w:rsidR="00DB07DE" w:rsidRPr="00CF36F6">
        <w:rPr>
          <w:rFonts w:ascii="Tw Cen MT" w:hAnsi="Tw Cen MT" w:cs="Times New Roman"/>
          <w:sz w:val="18"/>
          <w:szCs w:val="18"/>
        </w:rPr>
        <w:t>Cowpea genotype BB 14-16-2-2 significantly contributed to high yields of maize</w:t>
      </w:r>
      <w:r w:rsidR="00741431">
        <w:rPr>
          <w:rFonts w:ascii="Tw Cen MT" w:hAnsi="Tw Cen MT" w:cs="Times New Roman"/>
          <w:sz w:val="18"/>
          <w:szCs w:val="18"/>
        </w:rPr>
        <w:t>.</w:t>
      </w:r>
      <w:r w:rsidR="00DB07DE" w:rsidRPr="00CF36F6">
        <w:rPr>
          <w:rFonts w:ascii="Tw Cen MT" w:hAnsi="Tw Cen MT" w:cs="Times New Roman"/>
          <w:sz w:val="18"/>
          <w:szCs w:val="18"/>
        </w:rPr>
        <w:t xml:space="preserve"> </w:t>
      </w:r>
      <w:r w:rsidR="00A9710C" w:rsidRPr="00CF36F6">
        <w:rPr>
          <w:rFonts w:ascii="Tw Cen MT" w:hAnsi="Tw Cen MT"/>
          <w:sz w:val="18"/>
          <w:szCs w:val="18"/>
        </w:rPr>
        <w:t>Conclusion &amp; Significance:</w:t>
      </w:r>
      <w:r w:rsidR="00741431">
        <w:rPr>
          <w:rFonts w:ascii="Tw Cen MT" w:hAnsi="Tw Cen MT"/>
          <w:sz w:val="18"/>
          <w:szCs w:val="18"/>
        </w:rPr>
        <w:t xml:space="preserve"> Conservation farming performed better than conventional farming system on improved maize varieties. </w:t>
      </w:r>
      <w:r w:rsidRPr="00CF36F6">
        <w:rPr>
          <w:rFonts w:ascii="Tw Cen MT" w:hAnsi="Tw Cen MT"/>
          <w:sz w:val="18"/>
          <w:szCs w:val="18"/>
        </w:rPr>
        <w:t xml:space="preserve"> Smallholder farmers in Zambia can increase maize productivity </w:t>
      </w:r>
      <w:r w:rsidR="00796414">
        <w:rPr>
          <w:rFonts w:ascii="Tw Cen MT" w:hAnsi="Tw Cen MT"/>
          <w:sz w:val="18"/>
          <w:szCs w:val="18"/>
        </w:rPr>
        <w:t xml:space="preserve">through </w:t>
      </w:r>
      <w:r w:rsidRPr="00CF36F6">
        <w:rPr>
          <w:rFonts w:ascii="Tw Cen MT" w:hAnsi="Tw Cen MT"/>
          <w:sz w:val="18"/>
          <w:szCs w:val="18"/>
        </w:rPr>
        <w:t xml:space="preserve">use of conservation farming system and improved maize varieties due high water and nitrogen use efficiency. </w:t>
      </w:r>
      <w:r w:rsidR="00A9710C" w:rsidRPr="00CF36F6">
        <w:rPr>
          <w:rFonts w:ascii="Tw Cen MT" w:hAnsi="Tw Cen MT"/>
          <w:sz w:val="18"/>
          <w:szCs w:val="18"/>
        </w:rPr>
        <w:t xml:space="preserve"> Recommendations are made for </w:t>
      </w:r>
      <w:r w:rsidRPr="00CF36F6">
        <w:rPr>
          <w:rFonts w:ascii="Tw Cen MT" w:hAnsi="Tw Cen MT"/>
          <w:sz w:val="18"/>
          <w:szCs w:val="18"/>
        </w:rPr>
        <w:t>farmers to select improved high water and nitrogen efficient</w:t>
      </w:r>
      <w:r w:rsidR="00741431">
        <w:rPr>
          <w:rFonts w:ascii="Tw Cen MT" w:hAnsi="Tw Cen MT"/>
          <w:sz w:val="18"/>
          <w:szCs w:val="18"/>
        </w:rPr>
        <w:t xml:space="preserve"> maize varieties</w:t>
      </w:r>
      <w:r w:rsidRPr="00CF36F6">
        <w:rPr>
          <w:rFonts w:ascii="Tw Cen MT" w:hAnsi="Tw Cen MT"/>
          <w:sz w:val="18"/>
          <w:szCs w:val="18"/>
        </w:rPr>
        <w:t xml:space="preserve"> to optimize productivity of maize in conservation farming. </w:t>
      </w:r>
    </w:p>
    <w:p w:rsidR="00AE3E37" w:rsidRDefault="00A9710C">
      <w:pPr>
        <w:pStyle w:val="Heading3"/>
        <w:spacing w:before="74"/>
      </w:pPr>
      <w:r>
        <w:rPr>
          <w:b w:val="0"/>
        </w:rPr>
        <w:br w:type="column"/>
      </w:r>
      <w:r>
        <w:rPr>
          <w:color w:val="BF5A14"/>
        </w:rPr>
        <w:t>Image</w:t>
      </w:r>
    </w:p>
    <w:p w:rsidR="00AE3E37" w:rsidRDefault="00624D2C">
      <w:pPr>
        <w:pStyle w:val="BodyText"/>
        <w:spacing w:before="2"/>
        <w:rPr>
          <w:rFonts w:ascii="Arial"/>
          <w:b/>
          <w:sz w:val="16"/>
        </w:rPr>
      </w:pPr>
      <w:r>
        <w:rPr>
          <w:noProof/>
        </w:rPr>
        <w:drawing>
          <wp:inline distT="0" distB="0" distL="0" distR="0" wp14:anchorId="0BED15DA" wp14:editId="7E334E54">
            <wp:extent cx="2466975" cy="1457325"/>
            <wp:effectExtent l="0" t="0" r="9525" b="9525"/>
            <wp:docPr id="1" name="Chart 1">
              <a:extLst xmlns:a="http://schemas.openxmlformats.org/drawingml/2006/main">
                <a:ext uri="{FF2B5EF4-FFF2-40B4-BE49-F238E27FC236}">
                  <a16:creationId xmlns:a16="http://schemas.microsoft.com/office/drawing/2014/main" id="{9273F1AA-D106-43CB-A2B6-883FAC27CD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624D2C" w:rsidRPr="009E7143" w:rsidRDefault="009E7143" w:rsidP="009E7143">
      <w:pPr>
        <w:rPr>
          <w:sz w:val="18"/>
          <w:szCs w:val="18"/>
          <w:lang w:val="en-GB"/>
        </w:rPr>
      </w:pPr>
      <w:r>
        <w:rPr>
          <w:sz w:val="18"/>
          <w:szCs w:val="18"/>
          <w:lang w:val="en-GB"/>
        </w:rPr>
        <w:t>1.</w:t>
      </w:r>
      <w:r w:rsidR="00624D2C" w:rsidRPr="009E7143">
        <w:rPr>
          <w:sz w:val="18"/>
          <w:szCs w:val="18"/>
          <w:lang w:val="en-GB"/>
        </w:rPr>
        <w:t>Aagaard. P. J. (2011)</w:t>
      </w:r>
      <w:r w:rsidR="00624D2C" w:rsidRPr="009E7143">
        <w:rPr>
          <w:sz w:val="18"/>
          <w:szCs w:val="18"/>
          <w:lang w:val="en-GB"/>
        </w:rPr>
        <w:t xml:space="preserve"> The practice of Conventional and Conservation Agriculture in East and Southern Africa hand book. Conservation Farming Unit. PP 14-25.</w:t>
      </w:r>
    </w:p>
    <w:p w:rsidR="00624D2C" w:rsidRPr="00624D2C" w:rsidRDefault="00624D2C" w:rsidP="00624D2C">
      <w:pPr>
        <w:jc w:val="both"/>
        <w:rPr>
          <w:i/>
          <w:sz w:val="18"/>
          <w:szCs w:val="18"/>
          <w:lang w:val="en-GB"/>
        </w:rPr>
      </w:pPr>
      <w:r>
        <w:rPr>
          <w:sz w:val="18"/>
          <w:szCs w:val="18"/>
          <w:lang w:val="en-GB"/>
        </w:rPr>
        <w:t>2</w:t>
      </w:r>
      <w:r w:rsidR="009E7143">
        <w:rPr>
          <w:sz w:val="18"/>
          <w:szCs w:val="18"/>
          <w:lang w:val="en-GB"/>
        </w:rPr>
        <w:t>.</w:t>
      </w:r>
      <w:r>
        <w:rPr>
          <w:sz w:val="18"/>
          <w:szCs w:val="18"/>
          <w:lang w:val="en-GB"/>
        </w:rPr>
        <w:t xml:space="preserve"> </w:t>
      </w:r>
      <w:r w:rsidRPr="00624D2C">
        <w:rPr>
          <w:sz w:val="18"/>
          <w:szCs w:val="18"/>
          <w:lang w:val="en-GB"/>
        </w:rPr>
        <w:t>Chan</w:t>
      </w:r>
      <w:r w:rsidR="009E7143">
        <w:rPr>
          <w:sz w:val="18"/>
          <w:szCs w:val="18"/>
          <w:lang w:val="en-GB"/>
        </w:rPr>
        <w:t xml:space="preserve">d </w:t>
      </w:r>
      <w:proofErr w:type="spellStart"/>
      <w:r w:rsidR="009E7143">
        <w:rPr>
          <w:sz w:val="18"/>
          <w:szCs w:val="18"/>
          <w:lang w:val="en-GB"/>
        </w:rPr>
        <w:t>Mukesh</w:t>
      </w:r>
      <w:proofErr w:type="spellEnd"/>
      <w:r w:rsidR="009E7143">
        <w:rPr>
          <w:sz w:val="18"/>
          <w:szCs w:val="18"/>
          <w:lang w:val="en-GB"/>
        </w:rPr>
        <w:t xml:space="preserve"> and </w:t>
      </w:r>
      <w:proofErr w:type="spellStart"/>
      <w:r w:rsidR="009E7143">
        <w:rPr>
          <w:sz w:val="18"/>
          <w:szCs w:val="18"/>
          <w:lang w:val="en-GB"/>
        </w:rPr>
        <w:t>Bhan</w:t>
      </w:r>
      <w:proofErr w:type="spellEnd"/>
      <w:r w:rsidR="009E7143">
        <w:rPr>
          <w:sz w:val="18"/>
          <w:szCs w:val="18"/>
          <w:lang w:val="en-GB"/>
        </w:rPr>
        <w:t xml:space="preserve"> Suraj. (2000)</w:t>
      </w:r>
      <w:r w:rsidRPr="00624D2C">
        <w:rPr>
          <w:sz w:val="18"/>
          <w:szCs w:val="18"/>
          <w:lang w:val="en-GB"/>
        </w:rPr>
        <w:t xml:space="preserve"> Root development, water use and water use efficiency of sorghum as influence by vegetative barriers in alley cropping system under rain fed conditions. </w:t>
      </w:r>
      <w:r w:rsidRPr="00624D2C">
        <w:rPr>
          <w:i/>
          <w:sz w:val="18"/>
          <w:szCs w:val="18"/>
          <w:lang w:val="en-GB"/>
        </w:rPr>
        <w:t>Indian Journal Agronomy 47(3), 333-339.</w:t>
      </w:r>
    </w:p>
    <w:p w:rsidR="00624D2C" w:rsidRPr="00624D2C" w:rsidRDefault="009E7143" w:rsidP="00624D2C">
      <w:pPr>
        <w:jc w:val="both"/>
        <w:rPr>
          <w:i/>
          <w:sz w:val="18"/>
          <w:szCs w:val="18"/>
          <w:lang w:val="en-GB"/>
        </w:rPr>
      </w:pPr>
      <w:r>
        <w:rPr>
          <w:sz w:val="18"/>
          <w:szCs w:val="18"/>
          <w:lang w:val="en-GB"/>
        </w:rPr>
        <w:t>3. De Wit 2006</w:t>
      </w:r>
      <w:r w:rsidR="00624D2C" w:rsidRPr="00624D2C">
        <w:rPr>
          <w:sz w:val="18"/>
          <w:szCs w:val="18"/>
          <w:lang w:val="en-GB"/>
        </w:rPr>
        <w:t xml:space="preserve"> Climate Change and African Agriculture.</w:t>
      </w:r>
      <w:r w:rsidR="00624D2C" w:rsidRPr="00624D2C">
        <w:rPr>
          <w:i/>
          <w:sz w:val="18"/>
          <w:szCs w:val="18"/>
          <w:lang w:val="en-GB"/>
        </w:rPr>
        <w:t xml:space="preserve"> African Journal 53(7) 56-60.</w:t>
      </w:r>
    </w:p>
    <w:p w:rsidR="00624D2C" w:rsidRPr="00624D2C" w:rsidRDefault="009E7143" w:rsidP="00624D2C">
      <w:pPr>
        <w:jc w:val="both"/>
        <w:rPr>
          <w:sz w:val="18"/>
          <w:szCs w:val="18"/>
          <w:lang w:val="en-GB"/>
        </w:rPr>
      </w:pPr>
      <w:r>
        <w:rPr>
          <w:sz w:val="18"/>
          <w:szCs w:val="18"/>
          <w:lang w:val="en-GB"/>
        </w:rPr>
        <w:t xml:space="preserve">4. </w:t>
      </w:r>
      <w:r w:rsidR="00624D2C" w:rsidRPr="00624D2C">
        <w:rPr>
          <w:sz w:val="18"/>
          <w:szCs w:val="18"/>
          <w:lang w:val="en-GB"/>
        </w:rPr>
        <w:t xml:space="preserve">Dobermann </w:t>
      </w:r>
      <w:r>
        <w:rPr>
          <w:sz w:val="18"/>
          <w:szCs w:val="18"/>
          <w:lang w:val="en-GB"/>
        </w:rPr>
        <w:t>(2005)</w:t>
      </w:r>
      <w:r w:rsidR="00624D2C" w:rsidRPr="00624D2C">
        <w:rPr>
          <w:sz w:val="18"/>
          <w:szCs w:val="18"/>
          <w:lang w:val="en-GB"/>
        </w:rPr>
        <w:t xml:space="preserve"> Nitrogen Use efficiency – State of the Art.2005. Agronomy- Faculty Publications. Paper 316, University of Nebraska, Lincoln.</w:t>
      </w:r>
    </w:p>
    <w:p w:rsidR="00624D2C" w:rsidRPr="00624D2C" w:rsidRDefault="009E7143" w:rsidP="00624D2C">
      <w:pPr>
        <w:jc w:val="both"/>
        <w:rPr>
          <w:sz w:val="18"/>
          <w:szCs w:val="18"/>
          <w:lang w:val="en-GB"/>
        </w:rPr>
      </w:pPr>
      <w:r>
        <w:rPr>
          <w:sz w:val="18"/>
          <w:szCs w:val="18"/>
          <w:lang w:val="en-GB"/>
        </w:rPr>
        <w:t>5. Early warning Unit (2008)</w:t>
      </w:r>
      <w:r w:rsidR="00624D2C" w:rsidRPr="00624D2C">
        <w:rPr>
          <w:sz w:val="18"/>
          <w:szCs w:val="18"/>
          <w:lang w:val="en-GB"/>
        </w:rPr>
        <w:t xml:space="preserve"> Crop Harvest Survey report. Ministry of Agriculture and Livestock.</w:t>
      </w:r>
    </w:p>
    <w:p w:rsidR="00624D2C" w:rsidRPr="00624D2C" w:rsidRDefault="00624D2C" w:rsidP="00624D2C">
      <w:pPr>
        <w:jc w:val="both"/>
        <w:rPr>
          <w:sz w:val="18"/>
          <w:szCs w:val="18"/>
          <w:lang w:val="en-GB"/>
        </w:rPr>
      </w:pPr>
    </w:p>
    <w:p w:rsidR="00624D2C" w:rsidRDefault="009E7143" w:rsidP="00624D2C">
      <w:pPr>
        <w:jc w:val="both"/>
        <w:rPr>
          <w:sz w:val="18"/>
          <w:szCs w:val="18"/>
          <w:lang w:val="en-GB"/>
        </w:rPr>
      </w:pPr>
      <w:r>
        <w:rPr>
          <w:sz w:val="18"/>
          <w:szCs w:val="18"/>
          <w:lang w:val="en-GB"/>
        </w:rPr>
        <w:t xml:space="preserve">6. </w:t>
      </w:r>
      <w:proofErr w:type="spellStart"/>
      <w:r w:rsidR="00624D2C" w:rsidRPr="00624D2C">
        <w:rPr>
          <w:sz w:val="18"/>
          <w:szCs w:val="18"/>
          <w:lang w:val="en-GB"/>
        </w:rPr>
        <w:t>Fageria</w:t>
      </w:r>
      <w:proofErr w:type="spellEnd"/>
      <w:r w:rsidR="00624D2C" w:rsidRPr="00624D2C">
        <w:rPr>
          <w:sz w:val="18"/>
          <w:szCs w:val="18"/>
          <w:lang w:val="en-GB"/>
        </w:rPr>
        <w:t xml:space="preserve"> N.K and V.C. </w:t>
      </w:r>
      <w:proofErr w:type="spellStart"/>
      <w:r w:rsidR="00624D2C" w:rsidRPr="00624D2C">
        <w:rPr>
          <w:sz w:val="18"/>
          <w:szCs w:val="18"/>
          <w:lang w:val="en-GB"/>
        </w:rPr>
        <w:t>Baligar</w:t>
      </w:r>
      <w:proofErr w:type="spellEnd"/>
      <w:r w:rsidR="00624D2C" w:rsidRPr="00624D2C">
        <w:rPr>
          <w:sz w:val="18"/>
          <w:szCs w:val="18"/>
          <w:lang w:val="en-GB"/>
        </w:rPr>
        <w:t xml:space="preserve"> (2005). Enhancing Nitrogen Use Efficiency in crop plants. </w:t>
      </w:r>
      <w:r w:rsidR="00624D2C" w:rsidRPr="00624D2C">
        <w:rPr>
          <w:i/>
          <w:sz w:val="18"/>
          <w:szCs w:val="18"/>
          <w:lang w:val="en-GB"/>
        </w:rPr>
        <w:t>Advances in Agronomy</w:t>
      </w:r>
      <w:r w:rsidR="00624D2C" w:rsidRPr="00624D2C">
        <w:rPr>
          <w:sz w:val="18"/>
          <w:szCs w:val="18"/>
          <w:lang w:val="en-GB"/>
        </w:rPr>
        <w:t>.</w:t>
      </w:r>
    </w:p>
    <w:p w:rsidR="009E7143" w:rsidRDefault="009E7143" w:rsidP="00624D2C">
      <w:pPr>
        <w:jc w:val="both"/>
        <w:rPr>
          <w:sz w:val="18"/>
          <w:szCs w:val="18"/>
          <w:lang w:val="en-GB"/>
        </w:rPr>
      </w:pPr>
    </w:p>
    <w:p w:rsidR="00624D2C" w:rsidRDefault="009E7143" w:rsidP="00624D2C">
      <w:pPr>
        <w:jc w:val="both"/>
        <w:rPr>
          <w:sz w:val="18"/>
          <w:szCs w:val="18"/>
          <w:lang w:val="en-GB"/>
        </w:rPr>
      </w:pPr>
      <w:r>
        <w:rPr>
          <w:sz w:val="18"/>
          <w:szCs w:val="18"/>
          <w:lang w:val="en-GB"/>
        </w:rPr>
        <w:t xml:space="preserve">7. </w:t>
      </w:r>
      <w:r w:rsidR="00624D2C" w:rsidRPr="00624D2C">
        <w:rPr>
          <w:sz w:val="18"/>
          <w:szCs w:val="18"/>
          <w:lang w:val="en-GB"/>
        </w:rPr>
        <w:t>FAO (2010). Climate Smart Agriculture: Policies, practices and Financing for Food Security, Adaptation and Mitigation. FAO. Rome.</w:t>
      </w:r>
    </w:p>
    <w:p w:rsidR="009E7143" w:rsidRPr="00624D2C" w:rsidRDefault="009E7143" w:rsidP="00624D2C">
      <w:pPr>
        <w:jc w:val="both"/>
        <w:rPr>
          <w:sz w:val="18"/>
          <w:szCs w:val="18"/>
          <w:lang w:val="en-GB"/>
        </w:rPr>
      </w:pPr>
    </w:p>
    <w:p w:rsidR="00624D2C" w:rsidRPr="00624D2C" w:rsidRDefault="009E7143" w:rsidP="00624D2C">
      <w:pPr>
        <w:jc w:val="both"/>
        <w:rPr>
          <w:sz w:val="18"/>
          <w:szCs w:val="18"/>
          <w:lang w:val="en-GB"/>
        </w:rPr>
      </w:pPr>
      <w:r>
        <w:rPr>
          <w:sz w:val="18"/>
          <w:szCs w:val="18"/>
          <w:lang w:val="en-GB"/>
        </w:rPr>
        <w:t>8. FAO (2012)</w:t>
      </w:r>
      <w:r w:rsidR="00624D2C" w:rsidRPr="00624D2C">
        <w:rPr>
          <w:sz w:val="18"/>
          <w:szCs w:val="18"/>
          <w:lang w:val="en-GB"/>
        </w:rPr>
        <w:t xml:space="preserve"> Climate Change Mitigation Finance for Smallholder Agriculture. A guide book to harvest soil carbon sequestration benefits.</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34CB3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B6FD9" w:rsidRDefault="008756E6" w:rsidP="00404E5B">
      <w:pPr>
        <w:spacing w:before="92"/>
        <w:ind w:right="4234"/>
        <w:rPr>
          <w:noProof/>
        </w:rPr>
      </w:pPr>
      <w:r>
        <w:rPr>
          <w:noProof/>
        </w:rPr>
        <w:t xml:space="preserve">  </w:t>
      </w:r>
      <w:r w:rsidR="009B6FD9">
        <w:rPr>
          <w:noProof/>
        </w:rPr>
        <w:drawing>
          <wp:inline distT="0" distB="0" distL="0" distR="0" wp14:anchorId="79F12D61" wp14:editId="3466E703">
            <wp:extent cx="504825" cy="504825"/>
            <wp:effectExtent l="0" t="0" r="9525" b="9525"/>
            <wp:docPr id="3" name="Picture 3" descr="C:\Users\Simunji\AppData\Local\Microsoft\Windows\INetCache\Content.Word\TRIAL PHOTOS 2016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unji\AppData\Local\Microsoft\Windows\INetCache\Content.Word\TRIAL PHOTOS 2016 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r>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9E7143">
      <w:pPr>
        <w:spacing w:before="41" w:line="154" w:lineRule="exact"/>
        <w:ind w:left="213" w:right="231"/>
        <w:jc w:val="both"/>
        <w:rPr>
          <w:rFonts w:ascii="Arial"/>
          <w:sz w:val="14"/>
        </w:rPr>
      </w:pPr>
      <w:r>
        <w:rPr>
          <w:rFonts w:ascii="Arial"/>
          <w:sz w:val="14"/>
        </w:rPr>
        <w:t xml:space="preserve">Simunji </w:t>
      </w:r>
      <w:proofErr w:type="spellStart"/>
      <w:r>
        <w:rPr>
          <w:rFonts w:ascii="Arial"/>
          <w:sz w:val="14"/>
        </w:rPr>
        <w:t>Simunji</w:t>
      </w:r>
      <w:proofErr w:type="spellEnd"/>
      <w:r>
        <w:rPr>
          <w:rFonts w:ascii="Arial"/>
          <w:sz w:val="14"/>
        </w:rPr>
        <w:t xml:space="preserve"> is a PhD student at the University of Zambia</w:t>
      </w:r>
      <w:r w:rsidR="009B6FD9">
        <w:rPr>
          <w:rFonts w:ascii="Arial"/>
          <w:sz w:val="14"/>
        </w:rPr>
        <w:t>(UNZA)</w:t>
      </w:r>
      <w:r>
        <w:rPr>
          <w:rFonts w:ascii="Arial"/>
          <w:sz w:val="14"/>
        </w:rPr>
        <w:t xml:space="preserve"> and </w:t>
      </w:r>
      <w:r w:rsidR="009B6FD9">
        <w:rPr>
          <w:rFonts w:ascii="Arial"/>
          <w:sz w:val="14"/>
        </w:rPr>
        <w:t>he is</w:t>
      </w:r>
      <w:r>
        <w:rPr>
          <w:rFonts w:ascii="Arial"/>
          <w:sz w:val="14"/>
        </w:rPr>
        <w:t xml:space="preserve"> working for Golden </w:t>
      </w:r>
      <w:proofErr w:type="gramStart"/>
      <w:r>
        <w:rPr>
          <w:rFonts w:ascii="Arial"/>
          <w:sz w:val="14"/>
        </w:rPr>
        <w:t>valley</w:t>
      </w:r>
      <w:proofErr w:type="gramEnd"/>
      <w:r>
        <w:rPr>
          <w:rFonts w:ascii="Arial"/>
          <w:sz w:val="14"/>
        </w:rPr>
        <w:t xml:space="preserve"> Agricultural Research Trust (GART). He has experience in applied research mainly in conservation </w:t>
      </w:r>
      <w:r w:rsidR="009B6FD9">
        <w:rPr>
          <w:rFonts w:ascii="Arial"/>
          <w:sz w:val="14"/>
        </w:rPr>
        <w:t>farming</w:t>
      </w:r>
      <w:r>
        <w:rPr>
          <w:rFonts w:ascii="Arial"/>
          <w:sz w:val="14"/>
        </w:rPr>
        <w:t xml:space="preserve"> as an agronomist</w:t>
      </w:r>
      <w:r w:rsidR="009B6FD9">
        <w:rPr>
          <w:rFonts w:ascii="Arial"/>
          <w:sz w:val="14"/>
        </w:rPr>
        <w:t xml:space="preserve"> since 2004</w:t>
      </w:r>
      <w:r>
        <w:rPr>
          <w:rFonts w:ascii="Arial"/>
          <w:sz w:val="14"/>
        </w:rPr>
        <w:t xml:space="preserve">. </w:t>
      </w:r>
      <w:r w:rsidR="009B6FD9">
        <w:rPr>
          <w:rFonts w:ascii="Arial"/>
          <w:sz w:val="14"/>
        </w:rPr>
        <w:t xml:space="preserve">The study was conducted to determine improved methods of optimizing water and nitrogen use efficiency in conservation farming systems to increase yields of maize.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9B6FD9" w:rsidRPr="00ED7BF0">
          <w:rPr>
            <w:rStyle w:val="Hyperlink"/>
            <w:rFonts w:ascii="Arial"/>
            <w:sz w:val="14"/>
          </w:rPr>
          <w:t>simunji@yahoo.co.uk</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9B6FD9">
        <w:rPr>
          <w:rStyle w:val="Hyperlink"/>
          <w:rFonts w:ascii="Arial"/>
          <w:sz w:val="14"/>
          <w:u w:val="none"/>
        </w:rPr>
        <w:t>+260977670129</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C44D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9B6FD9" w:rsidRPr="009B6FD9" w:rsidRDefault="009B6FD9">
      <w:pPr>
        <w:rPr>
          <w:sz w:val="18"/>
          <w:szCs w:val="18"/>
        </w:rPr>
        <w:sectPr w:rsidR="009B6FD9" w:rsidRPr="009B6FD9">
          <w:type w:val="continuous"/>
          <w:pgSz w:w="11910" w:h="16840"/>
          <w:pgMar w:top="1740" w:right="600" w:bottom="840" w:left="620" w:header="720" w:footer="720" w:gutter="0"/>
          <w:cols w:space="720"/>
        </w:sectPr>
      </w:pPr>
      <w:r w:rsidRPr="009B6FD9">
        <w:rPr>
          <w:sz w:val="18"/>
          <w:szCs w:val="18"/>
        </w:rPr>
        <w:t>I will appreciate if my abstract can be considered. This will be the first presentation of my</w:t>
      </w:r>
      <w:r w:rsidR="00273244">
        <w:rPr>
          <w:sz w:val="18"/>
          <w:szCs w:val="18"/>
        </w:rPr>
        <w:t xml:space="preserve"> PhD</w:t>
      </w:r>
      <w:r w:rsidRPr="009B6FD9">
        <w:rPr>
          <w:sz w:val="18"/>
          <w:szCs w:val="18"/>
        </w:rPr>
        <w:t xml:space="preserve"> study at the conference.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0158" w:rsidRDefault="00D70158">
      <w:r>
        <w:separator/>
      </w:r>
    </w:p>
  </w:endnote>
  <w:endnote w:type="continuationSeparator" w:id="0">
    <w:p w:rsidR="00D70158" w:rsidRDefault="00D70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0158" w:rsidRDefault="00D70158">
      <w:r>
        <w:separator/>
      </w:r>
    </w:p>
  </w:footnote>
  <w:footnote w:type="continuationSeparator" w:id="0">
    <w:p w:rsidR="00D70158" w:rsidRDefault="00D70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1215934"/>
    <w:multiLevelType w:val="hybridMultilevel"/>
    <w:tmpl w:val="F3361E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5120D4C"/>
    <w:multiLevelType w:val="hybridMultilevel"/>
    <w:tmpl w:val="B7F6F84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73244"/>
    <w:rsid w:val="00292ED9"/>
    <w:rsid w:val="00364417"/>
    <w:rsid w:val="003F175B"/>
    <w:rsid w:val="00404E5B"/>
    <w:rsid w:val="00412274"/>
    <w:rsid w:val="00414F7B"/>
    <w:rsid w:val="004355DC"/>
    <w:rsid w:val="004749B4"/>
    <w:rsid w:val="00494130"/>
    <w:rsid w:val="004F3523"/>
    <w:rsid w:val="005973B9"/>
    <w:rsid w:val="005B3A56"/>
    <w:rsid w:val="005E50A5"/>
    <w:rsid w:val="006060CE"/>
    <w:rsid w:val="00624D2C"/>
    <w:rsid w:val="0063497F"/>
    <w:rsid w:val="00741431"/>
    <w:rsid w:val="00796414"/>
    <w:rsid w:val="00873DF0"/>
    <w:rsid w:val="008756E6"/>
    <w:rsid w:val="009B2D44"/>
    <w:rsid w:val="009B6FD9"/>
    <w:rsid w:val="009E7143"/>
    <w:rsid w:val="00A07E82"/>
    <w:rsid w:val="00A9710C"/>
    <w:rsid w:val="00AE3E37"/>
    <w:rsid w:val="00B21A57"/>
    <w:rsid w:val="00BD4E9B"/>
    <w:rsid w:val="00C33602"/>
    <w:rsid w:val="00CD6F55"/>
    <w:rsid w:val="00CF36F6"/>
    <w:rsid w:val="00D70158"/>
    <w:rsid w:val="00DB07DE"/>
    <w:rsid w:val="00DE3104"/>
    <w:rsid w:val="00F24FA2"/>
    <w:rsid w:val="00F535A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CA3BF"/>
  <w15:docId w15:val="{9303DB5F-0A39-46FC-85F2-30A21D289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B6F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munji@yahoo.co.uk"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521681411445185"/>
          <c:y val="0.21655224469490333"/>
          <c:w val="0.63722291470322967"/>
          <c:h val="0.35957045978389757"/>
        </c:manualLayout>
      </c:layout>
      <c:barChart>
        <c:barDir val="col"/>
        <c:grouping val="clustered"/>
        <c:varyColors val="0"/>
        <c:ser>
          <c:idx val="0"/>
          <c:order val="0"/>
          <c:tx>
            <c:strRef>
              <c:f>Sheet3!$O$2</c:f>
              <c:strCache>
                <c:ptCount val="1"/>
                <c:pt idx="0">
                  <c:v>G BIOYILD</c:v>
                </c:pt>
              </c:strCache>
            </c:strRef>
          </c:tx>
          <c:spPr>
            <a:solidFill>
              <a:schemeClr val="accent1"/>
            </a:solidFill>
            <a:ln>
              <a:noFill/>
            </a:ln>
            <a:effectLst/>
          </c:spPr>
          <c:invertIfNegative val="0"/>
          <c:dPt>
            <c:idx val="3"/>
            <c:invertIfNegative val="0"/>
            <c:bubble3D val="0"/>
            <c:spPr>
              <a:solidFill>
                <a:srgbClr val="FF0000"/>
              </a:solidFill>
              <a:ln>
                <a:noFill/>
              </a:ln>
              <a:effectLst/>
            </c:spPr>
            <c:extLst>
              <c:ext xmlns:c16="http://schemas.microsoft.com/office/drawing/2014/chart" uri="{C3380CC4-5D6E-409C-BE32-E72D297353CC}">
                <c16:uniqueId val="{00000001-13A3-49DC-8E26-31F80900EB26}"/>
              </c:ext>
            </c:extLst>
          </c:dPt>
          <c:dPt>
            <c:idx val="7"/>
            <c:invertIfNegative val="0"/>
            <c:bubble3D val="0"/>
            <c:spPr>
              <a:solidFill>
                <a:srgbClr val="FF0000"/>
              </a:solidFill>
              <a:ln>
                <a:noFill/>
              </a:ln>
              <a:effectLst/>
            </c:spPr>
            <c:extLst>
              <c:ext xmlns:c16="http://schemas.microsoft.com/office/drawing/2014/chart" uri="{C3380CC4-5D6E-409C-BE32-E72D297353CC}">
                <c16:uniqueId val="{00000003-13A3-49DC-8E26-31F80900EB26}"/>
              </c:ext>
            </c:extLst>
          </c:dPt>
          <c:dPt>
            <c:idx val="11"/>
            <c:invertIfNegative val="0"/>
            <c:bubble3D val="0"/>
            <c:spPr>
              <a:solidFill>
                <a:srgbClr val="FF0000"/>
              </a:solidFill>
              <a:ln>
                <a:noFill/>
              </a:ln>
              <a:effectLst/>
            </c:spPr>
            <c:extLst>
              <c:ext xmlns:c16="http://schemas.microsoft.com/office/drawing/2014/chart" uri="{C3380CC4-5D6E-409C-BE32-E72D297353CC}">
                <c16:uniqueId val="{00000005-13A3-49DC-8E26-31F80900EB26}"/>
              </c:ext>
            </c:extLst>
          </c:dPt>
          <c:dPt>
            <c:idx val="15"/>
            <c:invertIfNegative val="0"/>
            <c:bubble3D val="0"/>
            <c:spPr>
              <a:solidFill>
                <a:srgbClr val="FF0000"/>
              </a:solidFill>
              <a:ln>
                <a:noFill/>
              </a:ln>
              <a:effectLst/>
            </c:spPr>
            <c:extLst>
              <c:ext xmlns:c16="http://schemas.microsoft.com/office/drawing/2014/chart" uri="{C3380CC4-5D6E-409C-BE32-E72D297353CC}">
                <c16:uniqueId val="{00000007-13A3-49DC-8E26-31F80900EB26}"/>
              </c:ext>
            </c:extLst>
          </c:dPt>
          <c:dPt>
            <c:idx val="16"/>
            <c:invertIfNegative val="0"/>
            <c:bubble3D val="0"/>
            <c:spPr>
              <a:solidFill>
                <a:srgbClr val="00B050"/>
              </a:solidFill>
              <a:ln>
                <a:noFill/>
              </a:ln>
              <a:effectLst/>
            </c:spPr>
            <c:extLst>
              <c:ext xmlns:c16="http://schemas.microsoft.com/office/drawing/2014/chart" uri="{C3380CC4-5D6E-409C-BE32-E72D297353CC}">
                <c16:uniqueId val="{00000009-13A3-49DC-8E26-31F80900EB26}"/>
              </c:ext>
            </c:extLst>
          </c:dPt>
          <c:dPt>
            <c:idx val="17"/>
            <c:invertIfNegative val="0"/>
            <c:bubble3D val="0"/>
            <c:spPr>
              <a:solidFill>
                <a:srgbClr val="00B050"/>
              </a:solidFill>
              <a:ln>
                <a:noFill/>
              </a:ln>
              <a:effectLst/>
            </c:spPr>
            <c:extLst>
              <c:ext xmlns:c16="http://schemas.microsoft.com/office/drawing/2014/chart" uri="{C3380CC4-5D6E-409C-BE32-E72D297353CC}">
                <c16:uniqueId val="{0000000B-13A3-49DC-8E26-31F80900EB26}"/>
              </c:ext>
            </c:extLst>
          </c:dPt>
          <c:dPt>
            <c:idx val="18"/>
            <c:invertIfNegative val="0"/>
            <c:bubble3D val="0"/>
            <c:spPr>
              <a:solidFill>
                <a:srgbClr val="00B050"/>
              </a:solidFill>
              <a:ln>
                <a:noFill/>
              </a:ln>
              <a:effectLst/>
            </c:spPr>
            <c:extLst>
              <c:ext xmlns:c16="http://schemas.microsoft.com/office/drawing/2014/chart" uri="{C3380CC4-5D6E-409C-BE32-E72D297353CC}">
                <c16:uniqueId val="{0000000D-13A3-49DC-8E26-31F80900EB26}"/>
              </c:ext>
            </c:extLst>
          </c:dPt>
          <c:errBars>
            <c:errBarType val="both"/>
            <c:errValType val="cust"/>
            <c:noEndCap val="0"/>
            <c:plus>
              <c:numRef>
                <c:f>Sheet3!$P$3:$P$21</c:f>
                <c:numCache>
                  <c:formatCode>General</c:formatCode>
                  <c:ptCount val="19"/>
                  <c:pt idx="0">
                    <c:v>706.01901467007792</c:v>
                  </c:pt>
                  <c:pt idx="1">
                    <c:v>753.23920597819256</c:v>
                  </c:pt>
                  <c:pt idx="2">
                    <c:v>177.07668571645783</c:v>
                  </c:pt>
                  <c:pt idx="3">
                    <c:v>176.22997257020924</c:v>
                  </c:pt>
                  <c:pt idx="4">
                    <c:v>710.2890073915936</c:v>
                  </c:pt>
                  <c:pt idx="5">
                    <c:v>707.46456596767769</c:v>
                  </c:pt>
                  <c:pt idx="6">
                    <c:v>180.39968939607408</c:v>
                  </c:pt>
                  <c:pt idx="7">
                    <c:v>205.85636397103028</c:v>
                  </c:pt>
                  <c:pt idx="8">
                    <c:v>788.16253233935868</c:v>
                  </c:pt>
                  <c:pt idx="9">
                    <c:v>1120.3820450836383</c:v>
                  </c:pt>
                  <c:pt idx="10">
                    <c:v>1680.8129678965249</c:v>
                  </c:pt>
                  <c:pt idx="11">
                    <c:v>211.63259119289262</c:v>
                  </c:pt>
                  <c:pt idx="12">
                    <c:v>529.09493973602594</c:v>
                  </c:pt>
                  <c:pt idx="13">
                    <c:v>616.55638291888738</c:v>
                  </c:pt>
                  <c:pt idx="14">
                    <c:v>349.43392340953562</c:v>
                  </c:pt>
                  <c:pt idx="15">
                    <c:v>297.22649122208276</c:v>
                  </c:pt>
                  <c:pt idx="16">
                    <c:v>260.93262166513051</c:v>
                  </c:pt>
                  <c:pt idx="17">
                    <c:v>204.37708505025807</c:v>
                  </c:pt>
                  <c:pt idx="18">
                    <c:v>100.4404749227338</c:v>
                  </c:pt>
                </c:numCache>
              </c:numRef>
            </c:plus>
            <c:minus>
              <c:numRef>
                <c:f>Sheet3!$P$3:$P$21</c:f>
                <c:numCache>
                  <c:formatCode>General</c:formatCode>
                  <c:ptCount val="19"/>
                  <c:pt idx="0">
                    <c:v>706.01901467007792</c:v>
                  </c:pt>
                  <c:pt idx="1">
                    <c:v>753.23920597819256</c:v>
                  </c:pt>
                  <c:pt idx="2">
                    <c:v>177.07668571645783</c:v>
                  </c:pt>
                  <c:pt idx="3">
                    <c:v>176.22997257020924</c:v>
                  </c:pt>
                  <c:pt idx="4">
                    <c:v>710.2890073915936</c:v>
                  </c:pt>
                  <c:pt idx="5">
                    <c:v>707.46456596767769</c:v>
                  </c:pt>
                  <c:pt idx="6">
                    <c:v>180.39968939607408</c:v>
                  </c:pt>
                  <c:pt idx="7">
                    <c:v>205.85636397103028</c:v>
                  </c:pt>
                  <c:pt idx="8">
                    <c:v>788.16253233935868</c:v>
                  </c:pt>
                  <c:pt idx="9">
                    <c:v>1120.3820450836383</c:v>
                  </c:pt>
                  <c:pt idx="10">
                    <c:v>1680.8129678965249</c:v>
                  </c:pt>
                  <c:pt idx="11">
                    <c:v>211.63259119289262</c:v>
                  </c:pt>
                  <c:pt idx="12">
                    <c:v>529.09493973602594</c:v>
                  </c:pt>
                  <c:pt idx="13">
                    <c:v>616.55638291888738</c:v>
                  </c:pt>
                  <c:pt idx="14">
                    <c:v>349.43392340953562</c:v>
                  </c:pt>
                  <c:pt idx="15">
                    <c:v>297.22649122208276</c:v>
                  </c:pt>
                  <c:pt idx="16">
                    <c:v>260.93262166513051</c:v>
                  </c:pt>
                  <c:pt idx="17">
                    <c:v>204.37708505025807</c:v>
                  </c:pt>
                  <c:pt idx="18">
                    <c:v>100.4404749227338</c:v>
                  </c:pt>
                </c:numCache>
              </c:numRef>
            </c:minus>
            <c:spPr>
              <a:noFill/>
              <a:ln w="9525" cap="flat" cmpd="sng" algn="ctr">
                <a:solidFill>
                  <a:schemeClr val="tx1">
                    <a:lumMod val="65000"/>
                    <a:lumOff val="35000"/>
                  </a:schemeClr>
                </a:solidFill>
                <a:round/>
              </a:ln>
              <a:effectLst/>
            </c:spPr>
          </c:errBars>
          <c:cat>
            <c:multiLvlStrRef>
              <c:f>Sheet3!$L$3:$N$21</c:f>
              <c:multiLvlStrCache>
                <c:ptCount val="19"/>
                <c:lvl>
                  <c:pt idx="0">
                    <c:v>M1</c:v>
                  </c:pt>
                  <c:pt idx="1">
                    <c:v>M2</c:v>
                  </c:pt>
                  <c:pt idx="2">
                    <c:v>M3</c:v>
                  </c:pt>
                  <c:pt idx="3">
                    <c:v>COP</c:v>
                  </c:pt>
                  <c:pt idx="4">
                    <c:v>M1</c:v>
                  </c:pt>
                  <c:pt idx="5">
                    <c:v>M2</c:v>
                  </c:pt>
                  <c:pt idx="6">
                    <c:v>M3</c:v>
                  </c:pt>
                  <c:pt idx="7">
                    <c:v>COP</c:v>
                  </c:pt>
                  <c:pt idx="8">
                    <c:v>M1</c:v>
                  </c:pt>
                  <c:pt idx="9">
                    <c:v>M2</c:v>
                  </c:pt>
                  <c:pt idx="10">
                    <c:v>M3</c:v>
                  </c:pt>
                  <c:pt idx="11">
                    <c:v>COP</c:v>
                  </c:pt>
                  <c:pt idx="12">
                    <c:v>M1</c:v>
                  </c:pt>
                  <c:pt idx="13">
                    <c:v>M2</c:v>
                  </c:pt>
                  <c:pt idx="14">
                    <c:v>M3</c:v>
                  </c:pt>
                  <c:pt idx="15">
                    <c:v>COP</c:v>
                  </c:pt>
                  <c:pt idx="16">
                    <c:v>M1</c:v>
                  </c:pt>
                  <c:pt idx="17">
                    <c:v>M2</c:v>
                  </c:pt>
                  <c:pt idx="18">
                    <c:v>M3</c:v>
                  </c:pt>
                </c:lvl>
                <c:lvl>
                  <c:pt idx="0">
                    <c:v>C1</c:v>
                  </c:pt>
                  <c:pt idx="4">
                    <c:v>C2</c:v>
                  </c:pt>
                  <c:pt idx="8">
                    <c:v>C3</c:v>
                  </c:pt>
                  <c:pt idx="12">
                    <c:v>C4</c:v>
                  </c:pt>
                  <c:pt idx="16">
                    <c:v>NCP</c:v>
                  </c:pt>
                </c:lvl>
                <c:lvl>
                  <c:pt idx="0">
                    <c:v>CF</c:v>
                  </c:pt>
                  <c:pt idx="16">
                    <c:v>CONV</c:v>
                  </c:pt>
                </c:lvl>
              </c:multiLvlStrCache>
            </c:multiLvlStrRef>
          </c:cat>
          <c:val>
            <c:numRef>
              <c:f>Sheet3!$O$3:$O$21</c:f>
              <c:numCache>
                <c:formatCode>General</c:formatCode>
                <c:ptCount val="19"/>
                <c:pt idx="0">
                  <c:v>11828.07696546807</c:v>
                </c:pt>
                <c:pt idx="1">
                  <c:v>11989.614744860939</c:v>
                </c:pt>
                <c:pt idx="2">
                  <c:v>11290.375118915523</c:v>
                </c:pt>
                <c:pt idx="3">
                  <c:v>6084.8128414580578</c:v>
                </c:pt>
                <c:pt idx="4">
                  <c:v>12277.552448509179</c:v>
                </c:pt>
                <c:pt idx="5">
                  <c:v>15820.18422314561</c:v>
                </c:pt>
                <c:pt idx="6">
                  <c:v>11095.613029827442</c:v>
                </c:pt>
                <c:pt idx="7">
                  <c:v>3921.2569609727507</c:v>
                </c:pt>
                <c:pt idx="8">
                  <c:v>12373.309513194292</c:v>
                </c:pt>
                <c:pt idx="9">
                  <c:v>11432.287514792877</c:v>
                </c:pt>
                <c:pt idx="10">
                  <c:v>12914.434776054937</c:v>
                </c:pt>
                <c:pt idx="11">
                  <c:v>5087.7795719382439</c:v>
                </c:pt>
                <c:pt idx="12">
                  <c:v>11462.456358208956</c:v>
                </c:pt>
                <c:pt idx="13">
                  <c:v>15351.615146705146</c:v>
                </c:pt>
                <c:pt idx="14">
                  <c:v>11389.082254276465</c:v>
                </c:pt>
                <c:pt idx="15">
                  <c:v>4493.0787140029888</c:v>
                </c:pt>
                <c:pt idx="16">
                  <c:v>5002.8324255160651</c:v>
                </c:pt>
                <c:pt idx="17">
                  <c:v>5454.0406768762896</c:v>
                </c:pt>
                <c:pt idx="18">
                  <c:v>5347.3744293419632</c:v>
                </c:pt>
              </c:numCache>
            </c:numRef>
          </c:val>
          <c:extLst>
            <c:ext xmlns:c16="http://schemas.microsoft.com/office/drawing/2014/chart" uri="{C3380CC4-5D6E-409C-BE32-E72D297353CC}">
              <c16:uniqueId val="{0000000E-13A3-49DC-8E26-31F80900EB26}"/>
            </c:ext>
          </c:extLst>
        </c:ser>
        <c:dLbls>
          <c:showLegendKey val="0"/>
          <c:showVal val="0"/>
          <c:showCatName val="0"/>
          <c:showSerName val="0"/>
          <c:showPercent val="0"/>
          <c:showBubbleSize val="0"/>
        </c:dLbls>
        <c:gapWidth val="219"/>
        <c:overlap val="-27"/>
        <c:axId val="417921368"/>
        <c:axId val="417925632"/>
      </c:barChart>
      <c:catAx>
        <c:axId val="417921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925632"/>
        <c:crosses val="autoZero"/>
        <c:auto val="1"/>
        <c:lblAlgn val="ctr"/>
        <c:lblOffset val="100"/>
        <c:noMultiLvlLbl val="0"/>
      </c:catAx>
      <c:valAx>
        <c:axId val="417925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Maize Grain yield kg ha</a:t>
                </a:r>
                <a:r>
                  <a:rPr lang="en-US" sz="900" baseline="30000"/>
                  <a:t>-1</a:t>
                </a:r>
              </a:p>
            </c:rich>
          </c:tx>
          <c:layout>
            <c:manualLayout>
              <c:xMode val="edge"/>
              <c:yMode val="edge"/>
              <c:x val="0"/>
              <c:y val="0.1809836609772229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17921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Simunji</cp:lastModifiedBy>
  <cp:revision>3</cp:revision>
  <dcterms:created xsi:type="dcterms:W3CDTF">2017-08-02T04:37:00Z</dcterms:created>
  <dcterms:modified xsi:type="dcterms:W3CDTF">2017-08-02T04:37:00Z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