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C6A" w:rsidRPr="00A66C6A" w:rsidRDefault="00A66C6A" w:rsidP="00A66C6A">
      <w:pPr>
        <w:tabs>
          <w:tab w:val="left" w:pos="6946"/>
        </w:tabs>
        <w:spacing w:line="360" w:lineRule="auto"/>
        <w:jc w:val="center"/>
        <w:rPr>
          <w:rFonts w:ascii="Times New Roman" w:eastAsia="Times New Roman" w:hAnsi="Times New Roman" w:cs="Times New Roman"/>
          <w:color w:val="191919"/>
          <w:sz w:val="24"/>
          <w:szCs w:val="24"/>
          <w:lang w:eastAsia="en-ZA"/>
        </w:rPr>
      </w:pPr>
      <w:r w:rsidRPr="00A66C6A">
        <w:rPr>
          <w:rFonts w:ascii="Times New Roman" w:eastAsia="Times New Roman" w:hAnsi="Times New Roman" w:cs="Times New Roman"/>
          <w:noProof/>
          <w:color w:val="191919"/>
          <w:sz w:val="24"/>
          <w:szCs w:val="24"/>
          <w:lang w:eastAsia="en-ZA"/>
        </w:rPr>
        <w:t>Factors influencing the participation of households  in community food gardens of</w:t>
      </w:r>
      <w:r w:rsidRPr="00A66C6A">
        <w:rPr>
          <w:rFonts w:ascii="Times New Roman" w:eastAsia="Times New Roman" w:hAnsi="Times New Roman" w:cs="Times New Roman"/>
          <w:color w:val="191919"/>
          <w:sz w:val="24"/>
          <w:szCs w:val="24"/>
          <w:lang w:eastAsia="en-ZA"/>
        </w:rPr>
        <w:t xml:space="preserve"> Lepelle-Nkumpi Local Municipality of Limpopo Province, South Africa</w:t>
      </w:r>
    </w:p>
    <w:p w:rsidR="00A66C6A" w:rsidRPr="00A66C6A" w:rsidRDefault="00A66C6A" w:rsidP="00A66C6A">
      <w:pPr>
        <w:tabs>
          <w:tab w:val="left" w:pos="6946"/>
        </w:tabs>
        <w:spacing w:line="360" w:lineRule="auto"/>
        <w:jc w:val="center"/>
        <w:rPr>
          <w:rFonts w:ascii="Times New Roman" w:eastAsia="Times New Roman" w:hAnsi="Times New Roman" w:cs="Times New Roman"/>
          <w:color w:val="191919"/>
          <w:sz w:val="24"/>
          <w:szCs w:val="24"/>
          <w:lang w:eastAsia="en-ZA"/>
        </w:rPr>
      </w:pP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By</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Malahlela Nkele Dorcus</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(201317007)</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Submitted</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For the Fulfilment of an Honours Degree of Agricultural Economics</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In The</w:t>
      </w:r>
    </w:p>
    <w:p w:rsidR="00A66C6A" w:rsidRPr="00A66C6A" w:rsidRDefault="00A66C6A" w:rsidP="00A66C6A">
      <w:pPr>
        <w:tabs>
          <w:tab w:val="left" w:pos="6946"/>
        </w:tabs>
        <w:spacing w:after="0" w:line="360" w:lineRule="auto"/>
        <w:jc w:val="center"/>
        <w:rPr>
          <w:rFonts w:ascii="Times New Roman" w:eastAsia="Times New Roman" w:hAnsi="Times New Roman" w:cs="Times New Roman"/>
          <w:noProof/>
          <w:color w:val="191919"/>
          <w:sz w:val="24"/>
          <w:szCs w:val="24"/>
          <w:lang w:eastAsia="en-ZA"/>
        </w:rPr>
      </w:pPr>
      <w:r w:rsidRPr="00A66C6A">
        <w:rPr>
          <w:rFonts w:ascii="Times New Roman" w:eastAsia="Times New Roman" w:hAnsi="Times New Roman" w:cs="Times New Roman"/>
          <w:noProof/>
          <w:color w:val="191919"/>
          <w:sz w:val="24"/>
          <w:szCs w:val="24"/>
          <w:lang w:eastAsia="en-ZA"/>
        </w:rPr>
        <w:t>Department of Agricultural Economics and Extension</w:t>
      </w:r>
    </w:p>
    <w:p w:rsidR="00A66C6A" w:rsidRPr="00A66C6A" w:rsidRDefault="00A66C6A" w:rsidP="00A66C6A">
      <w:pPr>
        <w:tabs>
          <w:tab w:val="left" w:pos="6946"/>
        </w:tabs>
        <w:spacing w:after="0" w:line="360" w:lineRule="auto"/>
        <w:jc w:val="center"/>
        <w:rPr>
          <w:rFonts w:ascii="Times New Roman" w:eastAsia="Times New Roman" w:hAnsi="Times New Roman" w:cs="Times New Roman"/>
          <w:noProof/>
          <w:color w:val="191919"/>
          <w:sz w:val="24"/>
          <w:szCs w:val="24"/>
          <w:lang w:eastAsia="en-ZA"/>
        </w:rPr>
      </w:pPr>
      <w:r w:rsidRPr="00A66C6A">
        <w:rPr>
          <w:rFonts w:ascii="Times New Roman" w:eastAsia="Times New Roman" w:hAnsi="Times New Roman" w:cs="Times New Roman"/>
          <w:noProof/>
          <w:color w:val="191919"/>
          <w:sz w:val="24"/>
          <w:szCs w:val="24"/>
          <w:lang w:eastAsia="en-ZA"/>
        </w:rPr>
        <w:t>Faculty of Science and Agriculture</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University of Fort Hare, South Africa</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Supervisor: Prof A Mushunje</w:t>
      </w: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p>
    <w:p w:rsidR="00A66C6A" w:rsidRPr="00A66C6A" w:rsidRDefault="00A66C6A" w:rsidP="00A66C6A">
      <w:pPr>
        <w:jc w:val="cente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t>November 2013</w:t>
      </w:r>
    </w:p>
    <w:p w:rsidR="00A66C6A" w:rsidRPr="00A66C6A" w:rsidRDefault="00A66C6A" w:rsidP="00A66C6A">
      <w:pPr>
        <w:rPr>
          <w:rFonts w:ascii="Times New Roman" w:eastAsia="Times New Roman" w:hAnsi="Times New Roman" w:cs="Times New Roman"/>
          <w:color w:val="191919"/>
          <w:sz w:val="24"/>
          <w:szCs w:val="24"/>
          <w:lang w:val="en-GB" w:eastAsia="en-ZA"/>
        </w:rPr>
      </w:pPr>
      <w:r w:rsidRPr="00A66C6A">
        <w:rPr>
          <w:rFonts w:ascii="Times New Roman" w:eastAsia="Times New Roman" w:hAnsi="Times New Roman" w:cs="Times New Roman"/>
          <w:color w:val="191919"/>
          <w:sz w:val="24"/>
          <w:szCs w:val="24"/>
          <w:lang w:val="en-GB" w:eastAsia="en-ZA"/>
        </w:rPr>
        <w:br w:type="page"/>
      </w:r>
    </w:p>
    <w:p w:rsidR="00A66C6A" w:rsidRDefault="00A66C6A" w:rsidP="00B51831">
      <w:pPr>
        <w:spacing w:before="480" w:after="0" w:line="360" w:lineRule="auto"/>
        <w:contextualSpacing/>
        <w:jc w:val="center"/>
        <w:outlineLvl w:val="0"/>
        <w:rPr>
          <w:rFonts w:ascii="Times New Roman" w:eastAsia="Times New Roman" w:hAnsi="Times New Roman" w:cs="Times New Roman"/>
          <w:b/>
          <w:bCs/>
          <w:color w:val="0D0D0D"/>
          <w:sz w:val="24"/>
          <w:szCs w:val="24"/>
          <w:lang w:val="en-GB" w:eastAsia="en-ZA"/>
        </w:rPr>
      </w:pPr>
      <w:bookmarkStart w:id="0" w:name="_Toc373487275"/>
      <w:r w:rsidRPr="00A66C6A">
        <w:rPr>
          <w:rFonts w:ascii="Times New Roman" w:eastAsia="Times New Roman" w:hAnsi="Times New Roman" w:cs="Times New Roman"/>
          <w:b/>
          <w:bCs/>
          <w:color w:val="0D0D0D"/>
          <w:sz w:val="24"/>
          <w:szCs w:val="24"/>
          <w:lang w:val="en-GB" w:eastAsia="en-ZA"/>
        </w:rPr>
        <w:lastRenderedPageBreak/>
        <w:t>ABSTRACT</w:t>
      </w:r>
      <w:bookmarkEnd w:id="0"/>
    </w:p>
    <w:p w:rsidR="00B51831" w:rsidRPr="00A66C6A" w:rsidRDefault="00B51831" w:rsidP="00B51831">
      <w:pPr>
        <w:spacing w:before="480" w:after="0" w:line="360" w:lineRule="auto"/>
        <w:contextualSpacing/>
        <w:jc w:val="center"/>
        <w:outlineLvl w:val="0"/>
        <w:rPr>
          <w:rFonts w:ascii="Times New Roman" w:eastAsia="Times New Roman" w:hAnsi="Times New Roman" w:cs="Times New Roman"/>
          <w:b/>
          <w:bCs/>
          <w:color w:val="0D0D0D"/>
          <w:sz w:val="24"/>
          <w:szCs w:val="24"/>
          <w:lang w:val="en-GB" w:eastAsia="en-ZA"/>
        </w:rPr>
      </w:pPr>
    </w:p>
    <w:p w:rsidR="00B51831" w:rsidRPr="00B51831" w:rsidRDefault="00B51831" w:rsidP="00B51831">
      <w:pPr>
        <w:jc w:val="both"/>
        <w:rPr>
          <w:rFonts w:ascii="Times New Roman" w:eastAsia="Times New Roman" w:hAnsi="Times New Roman" w:cs="Times New Roman"/>
          <w:i/>
          <w:color w:val="191919"/>
          <w:sz w:val="24"/>
          <w:szCs w:val="24"/>
          <w:lang w:eastAsia="en-ZA"/>
        </w:rPr>
      </w:pPr>
      <w:r w:rsidRPr="00B51831">
        <w:rPr>
          <w:rFonts w:ascii="Times New Roman" w:eastAsia="Times New Roman" w:hAnsi="Times New Roman" w:cs="Times New Roman"/>
          <w:bCs/>
          <w:i/>
          <w:color w:val="191919"/>
          <w:sz w:val="24"/>
          <w:szCs w:val="24"/>
          <w:lang w:eastAsia="en-ZA"/>
        </w:rPr>
        <w:t xml:space="preserve">Community food gardens are viewed as a means by which rural households improve their livelihoods; this </w:t>
      </w:r>
      <w:r w:rsidRPr="00B51831">
        <w:rPr>
          <w:rFonts w:ascii="Times New Roman" w:eastAsia="Times New Roman" w:hAnsi="Times New Roman" w:cs="Times New Roman"/>
          <w:i/>
          <w:color w:val="191919"/>
          <w:sz w:val="24"/>
          <w:szCs w:val="24"/>
          <w:lang w:eastAsia="en-ZA"/>
        </w:rPr>
        <w:t>study explores the factors influencing the decision of a household to participate in community food gardens (CFG) in</w:t>
      </w:r>
      <w:r>
        <w:rPr>
          <w:rFonts w:ascii="Times New Roman" w:eastAsia="Times New Roman" w:hAnsi="Times New Roman" w:cs="Times New Roman"/>
          <w:i/>
          <w:color w:val="191919"/>
          <w:sz w:val="24"/>
          <w:szCs w:val="24"/>
          <w:lang w:eastAsia="en-ZA"/>
        </w:rPr>
        <w:t xml:space="preserve"> Ga-Mathabatha and Mafefe villages within </w:t>
      </w:r>
      <w:r w:rsidRPr="00B51831">
        <w:rPr>
          <w:rFonts w:ascii="Times New Roman" w:eastAsia="Times New Roman" w:hAnsi="Times New Roman" w:cs="Times New Roman"/>
          <w:i/>
          <w:color w:val="191919"/>
          <w:sz w:val="24"/>
          <w:szCs w:val="24"/>
          <w:lang w:eastAsia="en-ZA"/>
        </w:rPr>
        <w:t>Lepelle</w:t>
      </w:r>
      <w:r w:rsidRPr="00B51831">
        <w:rPr>
          <w:rFonts w:ascii="Times New Roman" w:eastAsia="Times New Roman" w:hAnsi="Times New Roman" w:cs="Times New Roman"/>
          <w:i/>
          <w:color w:val="191919"/>
          <w:sz w:val="24"/>
          <w:szCs w:val="24"/>
          <w:lang w:eastAsia="en-ZA"/>
        </w:rPr>
        <w:t>-Nkumpi local municipality.</w:t>
      </w:r>
      <w:r w:rsidRPr="00B51831">
        <w:rPr>
          <w:rFonts w:ascii="Times New Roman" w:eastAsia="Times New Roman" w:hAnsi="Times New Roman" w:cs="Times New Roman"/>
          <w:i/>
          <w:iCs/>
          <w:color w:val="191919"/>
          <w:sz w:val="24"/>
          <w:szCs w:val="24"/>
          <w:lang w:eastAsia="en-ZA"/>
        </w:rPr>
        <w:t xml:space="preserve"> </w:t>
      </w:r>
      <w:r w:rsidRPr="00B51831">
        <w:rPr>
          <w:rFonts w:ascii="Times New Roman" w:eastAsia="Times New Roman" w:hAnsi="Times New Roman" w:cs="Times New Roman"/>
          <w:i/>
          <w:iCs/>
          <w:color w:val="191919"/>
          <w:sz w:val="24"/>
          <w:szCs w:val="24"/>
          <w:lang w:eastAsia="en-ZA"/>
        </w:rPr>
        <w:t xml:space="preserve">The main objectives are first to describe the socio economic nature of both households and CFG and to identify the socio-economic factors influencing the participation of households into CFG.  Descriptive statistics model was used to describe the nature of households and CFG, while </w:t>
      </w:r>
      <w:r w:rsidRPr="00B51831">
        <w:rPr>
          <w:rFonts w:ascii="Times New Roman" w:eastAsia="Times New Roman" w:hAnsi="Times New Roman" w:cs="Times New Roman"/>
          <w:i/>
          <w:color w:val="191919"/>
          <w:sz w:val="24"/>
          <w:szCs w:val="24"/>
          <w:lang w:eastAsia="en-ZA"/>
        </w:rPr>
        <w:t xml:space="preserve">binary logistic regression model was used to analyse the determinants of household participation to community food gardens. Data was collected from 12 CFG and 60 households through both structured questionnaire. Descriptive results shows that community food gardens in Lepelle-Nkumpi local municipality generate </w:t>
      </w:r>
      <w:r w:rsidRPr="00B51831">
        <w:rPr>
          <w:rFonts w:ascii="Times New Roman" w:eastAsia="Times New Roman" w:hAnsi="Times New Roman" w:cs="Times New Roman"/>
          <w:i/>
          <w:color w:val="191919"/>
          <w:sz w:val="24"/>
          <w:szCs w:val="24"/>
          <w:lang w:eastAsia="en-ZA"/>
        </w:rPr>
        <w:t>an</w:t>
      </w:r>
      <w:r w:rsidRPr="00B51831">
        <w:rPr>
          <w:rFonts w:ascii="Times New Roman" w:eastAsia="Times New Roman" w:hAnsi="Times New Roman" w:cs="Times New Roman"/>
          <w:i/>
          <w:color w:val="191919"/>
          <w:sz w:val="24"/>
          <w:szCs w:val="24"/>
          <w:lang w:eastAsia="en-ZA"/>
        </w:rPr>
        <w:t xml:space="preserve"> average production yield of R1543, 50</w:t>
      </w:r>
      <w:r>
        <w:rPr>
          <w:rFonts w:ascii="Times New Roman" w:eastAsia="Times New Roman" w:hAnsi="Times New Roman" w:cs="Times New Roman"/>
          <w:i/>
          <w:color w:val="191919"/>
          <w:sz w:val="24"/>
          <w:szCs w:val="24"/>
          <w:lang w:eastAsia="en-ZA"/>
        </w:rPr>
        <w:t xml:space="preserve"> while the empirical r</w:t>
      </w:r>
      <w:r w:rsidRPr="00B51831">
        <w:rPr>
          <w:rFonts w:ascii="Times New Roman" w:eastAsia="Times New Roman" w:hAnsi="Times New Roman" w:cs="Times New Roman"/>
          <w:i/>
          <w:color w:val="191919"/>
          <w:sz w:val="24"/>
          <w:szCs w:val="24"/>
          <w:lang w:eastAsia="en-ZA"/>
        </w:rPr>
        <w:t xml:space="preserve">esults showed that socioeconomic variables such as age, marital status, homestead gardening, ownership to agric </w:t>
      </w:r>
      <w:r w:rsidRPr="00B51831">
        <w:rPr>
          <w:rFonts w:ascii="Times New Roman" w:eastAsia="Times New Roman" w:hAnsi="Times New Roman" w:cs="Times New Roman"/>
          <w:i/>
          <w:color w:val="191919"/>
          <w:sz w:val="24"/>
          <w:szCs w:val="24"/>
          <w:lang w:eastAsia="en-ZA"/>
        </w:rPr>
        <w:t>equipment</w:t>
      </w:r>
      <w:r w:rsidRPr="00B51831">
        <w:rPr>
          <w:rFonts w:ascii="Times New Roman" w:eastAsia="Times New Roman" w:hAnsi="Times New Roman" w:cs="Times New Roman"/>
          <w:i/>
          <w:color w:val="191919"/>
          <w:sz w:val="24"/>
          <w:szCs w:val="24"/>
          <w:lang w:eastAsia="en-ZA"/>
        </w:rPr>
        <w:t xml:space="preserve">, information access and agricultural experience, were found to be significant determinants of CFG participation at 5% confidence level, educational level, information access and household perception, are significant at 10% significance level. </w:t>
      </w:r>
      <w:r w:rsidRPr="00B51831">
        <w:rPr>
          <w:rFonts w:ascii="Times New Roman" w:eastAsia="Times New Roman" w:hAnsi="Times New Roman" w:cs="Times New Roman"/>
          <w:i/>
          <w:color w:val="191919"/>
          <w:sz w:val="24"/>
          <w:szCs w:val="24"/>
          <w:lang w:eastAsia="en-ZA"/>
        </w:rPr>
        <w:t>Socio-economic variables show</w:t>
      </w:r>
      <w:r w:rsidRPr="00B51831">
        <w:rPr>
          <w:rFonts w:ascii="Times New Roman" w:eastAsia="Times New Roman" w:hAnsi="Times New Roman" w:cs="Times New Roman"/>
          <w:i/>
          <w:color w:val="191919"/>
          <w:sz w:val="24"/>
          <w:szCs w:val="24"/>
          <w:lang w:eastAsia="en-ZA"/>
        </w:rPr>
        <w:t xml:space="preserve"> a significant influence on the household</w:t>
      </w:r>
      <w:r>
        <w:rPr>
          <w:rFonts w:ascii="Times New Roman" w:eastAsia="Times New Roman" w:hAnsi="Times New Roman" w:cs="Times New Roman"/>
          <w:i/>
          <w:color w:val="191919"/>
          <w:sz w:val="24"/>
          <w:szCs w:val="24"/>
          <w:lang w:eastAsia="en-ZA"/>
        </w:rPr>
        <w:t xml:space="preserve"> decision to participate in CFG.</w:t>
      </w:r>
    </w:p>
    <w:p w:rsidR="00FA2A27" w:rsidRPr="00B51831" w:rsidRDefault="00B51831" w:rsidP="00B51831">
      <w:pPr>
        <w:jc w:val="both"/>
        <w:rPr>
          <w:rFonts w:ascii="Times New Roman" w:eastAsia="Times New Roman" w:hAnsi="Times New Roman" w:cs="Times New Roman"/>
          <w:bCs/>
          <w:color w:val="191919"/>
          <w:sz w:val="24"/>
          <w:szCs w:val="24"/>
          <w:lang w:eastAsia="en-ZA"/>
        </w:rPr>
      </w:pPr>
      <w:r w:rsidRPr="00A66C6A">
        <w:rPr>
          <w:rFonts w:ascii="Times New Roman" w:eastAsia="Times New Roman" w:hAnsi="Times New Roman" w:cs="Times New Roman"/>
          <w:b/>
          <w:bCs/>
          <w:color w:val="191919"/>
          <w:sz w:val="24"/>
          <w:szCs w:val="24"/>
          <w:lang w:eastAsia="en-ZA"/>
        </w:rPr>
        <w:t>Keywords</w:t>
      </w:r>
      <w:r w:rsidRPr="00A66C6A">
        <w:rPr>
          <w:rFonts w:ascii="Times New Roman" w:eastAsia="Times New Roman" w:hAnsi="Times New Roman" w:cs="Times New Roman"/>
          <w:bCs/>
          <w:color w:val="191919"/>
          <w:sz w:val="24"/>
          <w:szCs w:val="24"/>
          <w:lang w:eastAsia="en-ZA"/>
        </w:rPr>
        <w:t>: Livelihoods, food insecurity, food securit</w:t>
      </w:r>
      <w:r>
        <w:rPr>
          <w:rFonts w:ascii="Times New Roman" w:eastAsia="Times New Roman" w:hAnsi="Times New Roman" w:cs="Times New Roman"/>
          <w:bCs/>
          <w:color w:val="191919"/>
          <w:sz w:val="24"/>
          <w:szCs w:val="24"/>
          <w:lang w:eastAsia="en-ZA"/>
        </w:rPr>
        <w:t>y, Community food G</w:t>
      </w:r>
      <w:bookmarkStart w:id="1" w:name="_GoBack"/>
      <w:bookmarkEnd w:id="1"/>
      <w:r>
        <w:rPr>
          <w:rFonts w:ascii="Times New Roman" w:eastAsia="Times New Roman" w:hAnsi="Times New Roman" w:cs="Times New Roman"/>
          <w:bCs/>
          <w:color w:val="191919"/>
          <w:sz w:val="24"/>
          <w:szCs w:val="24"/>
          <w:lang w:eastAsia="en-ZA"/>
        </w:rPr>
        <w:t>arden (CFG)</w:t>
      </w:r>
    </w:p>
    <w:sectPr w:rsidR="00FA2A27" w:rsidRPr="00B518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C6A"/>
    <w:rsid w:val="00571912"/>
    <w:rsid w:val="00A66C6A"/>
    <w:rsid w:val="00AD793D"/>
    <w:rsid w:val="00B5183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NkeleM</dc:creator>
  <cp:lastModifiedBy>NkeleM</cp:lastModifiedBy>
  <cp:revision>1</cp:revision>
  <dcterms:created xsi:type="dcterms:W3CDTF">2016-02-05T08:27:00Z</dcterms:created>
  <dcterms:modified xsi:type="dcterms:W3CDTF">2016-02-05T08:46:00Z</dcterms:modified>
</cp:coreProperties>
</file>