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346BF" w14:textId="77777777" w:rsidR="008175F1" w:rsidRDefault="00095C27">
      <w:bookmarkStart w:id="0" w:name="_GoBack"/>
      <w:bookmarkEnd w:id="0"/>
      <w:proofErr w:type="spellStart"/>
      <w:r>
        <w:t>Bregenz</w:t>
      </w:r>
      <w:proofErr w:type="spellEnd"/>
      <w:r>
        <w:t xml:space="preserve"> abstract</w:t>
      </w:r>
    </w:p>
    <w:p w14:paraId="16CE0F64" w14:textId="77777777" w:rsidR="00095C27" w:rsidRDefault="00095C27"/>
    <w:p w14:paraId="7A31287F" w14:textId="77777777" w:rsidR="00095C27" w:rsidRDefault="00095C27">
      <w:r>
        <w:t>Title: Nonhuman primates in translational aging research</w:t>
      </w:r>
    </w:p>
    <w:p w14:paraId="4AEB80AE" w14:textId="77777777" w:rsidR="004906D8" w:rsidRDefault="004906D8">
      <w:r>
        <w:t>Julie</w:t>
      </w:r>
      <w:r w:rsidR="00FF38A8">
        <w:t xml:space="preserve"> Mattison, Translational Gerontology Branch</w:t>
      </w:r>
      <w:r>
        <w:t>, National Institute on Aging, NIH</w:t>
      </w:r>
    </w:p>
    <w:p w14:paraId="47B46675" w14:textId="77777777" w:rsidR="00341AD4" w:rsidRDefault="00341AD4">
      <w:pPr>
        <w:rPr>
          <w:rFonts w:cs="Arial"/>
        </w:rPr>
      </w:pPr>
    </w:p>
    <w:p w14:paraId="6ECB68C6" w14:textId="77777777" w:rsidR="009D7B58" w:rsidRDefault="00162F76">
      <w:pPr>
        <w:rPr>
          <w:rFonts w:cs="Arial"/>
        </w:rPr>
      </w:pPr>
      <w:r>
        <w:rPr>
          <w:rFonts w:cs="Arial"/>
        </w:rPr>
        <w:t>The need for sophisticated translational models of aging is growing</w:t>
      </w:r>
      <w:r w:rsidR="009D7B58">
        <w:rPr>
          <w:rFonts w:cs="Arial"/>
        </w:rPr>
        <w:t xml:space="preserve"> as the</w:t>
      </w:r>
      <w:r w:rsidR="004906D8">
        <w:rPr>
          <w:rFonts w:cs="Arial"/>
        </w:rPr>
        <w:t xml:space="preserve"> human</w:t>
      </w:r>
      <w:r w:rsidR="009D7B58">
        <w:rPr>
          <w:rFonts w:cs="Arial"/>
        </w:rPr>
        <w:t xml:space="preserve"> population is graying and healthcare costs are rising</w:t>
      </w:r>
      <w:r w:rsidR="003012E6">
        <w:rPr>
          <w:rFonts w:cs="Arial"/>
        </w:rPr>
        <w:t>.</w:t>
      </w:r>
      <w:r w:rsidR="00FD094D">
        <w:rPr>
          <w:rFonts w:cs="Arial"/>
        </w:rPr>
        <w:t xml:space="preserve"> Nonhuman primates (NHPs) provide an excellent opportunity </w:t>
      </w:r>
      <w:r w:rsidR="00A85C05">
        <w:rPr>
          <w:rFonts w:cs="Arial"/>
        </w:rPr>
        <w:t>to study a</w:t>
      </w:r>
      <w:r w:rsidR="00FD094D">
        <w:rPr>
          <w:rFonts w:cs="Arial"/>
        </w:rPr>
        <w:t xml:space="preserve"> closely related species that experiences similar aging processes and is relevant for the study of interventions.  </w:t>
      </w:r>
      <w:r w:rsidR="00A85C05">
        <w:rPr>
          <w:rFonts w:cs="Arial"/>
        </w:rPr>
        <w:t xml:space="preserve">NHPs </w:t>
      </w:r>
      <w:r w:rsidR="003012E6">
        <w:rPr>
          <w:rFonts w:cs="Arial"/>
        </w:rPr>
        <w:t xml:space="preserve">have similar </w:t>
      </w:r>
      <w:r w:rsidR="00FD094D">
        <w:rPr>
          <w:rFonts w:cs="Arial"/>
        </w:rPr>
        <w:t>morphology, physiology</w:t>
      </w:r>
      <w:r w:rsidR="00A85C05">
        <w:rPr>
          <w:rFonts w:cs="Arial"/>
        </w:rPr>
        <w:t xml:space="preserve">, </w:t>
      </w:r>
      <w:r w:rsidR="00FD094D">
        <w:rPr>
          <w:rFonts w:cs="Arial"/>
        </w:rPr>
        <w:t>behavior</w:t>
      </w:r>
      <w:r w:rsidR="003012E6">
        <w:rPr>
          <w:rFonts w:cs="Arial"/>
        </w:rPr>
        <w:t>, and aging processes as humans. Rhesus monkeys</w:t>
      </w:r>
      <w:r w:rsidR="004906D8">
        <w:rPr>
          <w:rFonts w:cs="Arial"/>
        </w:rPr>
        <w:t xml:space="preserve"> share &gt;92% homology and</w:t>
      </w:r>
      <w:r w:rsidR="00A5626B">
        <w:rPr>
          <w:rFonts w:cs="Arial"/>
        </w:rPr>
        <w:t xml:space="preserve"> are the</w:t>
      </w:r>
      <w:r w:rsidR="003012E6">
        <w:rPr>
          <w:rFonts w:cs="Arial"/>
        </w:rPr>
        <w:t xml:space="preserve"> most commonly studied </w:t>
      </w:r>
      <w:r w:rsidR="00A5626B">
        <w:rPr>
          <w:rFonts w:cs="Arial"/>
        </w:rPr>
        <w:t xml:space="preserve">NHP, </w:t>
      </w:r>
      <w:r w:rsidR="003012E6">
        <w:rPr>
          <w:rFonts w:cs="Arial"/>
        </w:rPr>
        <w:t xml:space="preserve">but </w:t>
      </w:r>
      <w:r w:rsidR="00FD094D">
        <w:rPr>
          <w:rFonts w:cs="Arial"/>
        </w:rPr>
        <w:t>their size, expense</w:t>
      </w:r>
      <w:r w:rsidR="00A85C05">
        <w:rPr>
          <w:rFonts w:cs="Arial"/>
        </w:rPr>
        <w:t>,</w:t>
      </w:r>
      <w:r w:rsidR="00FD094D">
        <w:rPr>
          <w:rFonts w:cs="Arial"/>
        </w:rPr>
        <w:t xml:space="preserve"> and </w:t>
      </w:r>
      <w:r w:rsidR="00A85C05">
        <w:rPr>
          <w:rFonts w:cs="Arial"/>
        </w:rPr>
        <w:t xml:space="preserve">a </w:t>
      </w:r>
      <w:r w:rsidR="003012E6">
        <w:rPr>
          <w:rFonts w:cs="Arial"/>
        </w:rPr>
        <w:t>lifespan reaching 40 years</w:t>
      </w:r>
      <w:r w:rsidR="00FD094D">
        <w:rPr>
          <w:rFonts w:cs="Arial"/>
        </w:rPr>
        <w:t xml:space="preserve">, </w:t>
      </w:r>
      <w:r w:rsidR="00A85C05">
        <w:rPr>
          <w:rFonts w:cs="Arial"/>
        </w:rPr>
        <w:t>suggests the ne</w:t>
      </w:r>
      <w:r w:rsidR="00FD094D">
        <w:rPr>
          <w:rFonts w:cs="Arial"/>
        </w:rPr>
        <w:t>ed for a shorter-lived, smaller NHP</w:t>
      </w:r>
      <w:r w:rsidR="00A85C05">
        <w:rPr>
          <w:rFonts w:cs="Arial"/>
        </w:rPr>
        <w:t xml:space="preserve"> for longevity studies. </w:t>
      </w:r>
      <w:r w:rsidR="00A5626B">
        <w:rPr>
          <w:rFonts w:cs="Arial"/>
        </w:rPr>
        <w:t>Due to its small size, low zoonotic risk, reproductive efficiency, and relatively low cost to maintain, m</w:t>
      </w:r>
      <w:r w:rsidR="00FD094D">
        <w:rPr>
          <w:rFonts w:cs="Arial"/>
        </w:rPr>
        <w:t xml:space="preserve">armosets </w:t>
      </w:r>
      <w:r w:rsidR="00A5626B">
        <w:rPr>
          <w:rFonts w:cs="Arial"/>
        </w:rPr>
        <w:t xml:space="preserve">are rapidly becoming the preferred NHP for biomedical testing. Both species experience age-related pathology similar to humans, such as cancer, diabetes, arthritis, cardiovascular disease, and neurological decline, and they are paving the way to improving human health and a better understanding of the mechanisms of aging.   </w:t>
      </w:r>
    </w:p>
    <w:sectPr w:rsidR="009D7B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5C27"/>
    <w:rsid w:val="00095C27"/>
    <w:rsid w:val="00162F76"/>
    <w:rsid w:val="003012E6"/>
    <w:rsid w:val="00325E17"/>
    <w:rsid w:val="00341AD4"/>
    <w:rsid w:val="004906D8"/>
    <w:rsid w:val="008175F1"/>
    <w:rsid w:val="009D7B58"/>
    <w:rsid w:val="00A5626B"/>
    <w:rsid w:val="00A85C05"/>
    <w:rsid w:val="00B50B5E"/>
    <w:rsid w:val="00D573A9"/>
    <w:rsid w:val="00FD094D"/>
    <w:rsid w:val="00FF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F317"/>
  <w15:docId w15:val="{344166D1-3F3B-40AE-A80E-E8C8A4FE0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Mattison, Julie (NIH/NIA/IRP) [E]</dc:creator>
  <cp:lastModifiedBy>Mattison, Julie (NIH/NIA/IRP) [E]</cp:lastModifiedBy>
  <cp:revision>2</cp:revision>
  <dcterms:created xsi:type="dcterms:W3CDTF">2019-03-08T20:08:00Z</dcterms:created>
  <dcterms:modified xsi:type="dcterms:W3CDTF">2019-03-08T20:08:00Z</dcterms:modified>
</cp:coreProperties>
</file>