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0F2B" w:rsidRDefault="002C0F2B" w:rsidP="001F414A">
      <w:pPr>
        <w:jc w:val="both"/>
        <w:rPr>
          <w:sz w:val="22"/>
          <w:szCs w:val="22"/>
          <w:lang w:val="en-GB"/>
        </w:rPr>
      </w:pPr>
      <w:r>
        <w:rPr>
          <w:sz w:val="22"/>
          <w:szCs w:val="22"/>
          <w:lang w:val="en-GB"/>
        </w:rPr>
        <w:t xml:space="preserve">                                                                                                                       </w:t>
      </w:r>
    </w:p>
    <w:p w:rsidR="00B83492" w:rsidRDefault="00ED30FC" w:rsidP="003439B1">
      <w:pPr>
        <w:shd w:val="clear" w:color="auto" w:fill="FFFFFF"/>
        <w:spacing w:line="253" w:lineRule="atLeast"/>
        <w:jc w:val="both"/>
        <w:rPr>
          <w:rFonts w:eastAsia="MS PGothic"/>
          <w:b/>
          <w:color w:val="000000"/>
          <w:sz w:val="28"/>
          <w:szCs w:val="28"/>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 1" o:spid="_x0000_s1026" type="#_x0000_t75" style="position:absolute;left:0;text-align:left;margin-left:359.9pt;margin-top:13.8pt;width:101.5pt;height:131.55pt;z-index: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v:imagedata r:id="rId8" o:title=""/>
            <w10:wrap type="tight"/>
          </v:shape>
        </w:pict>
      </w:r>
    </w:p>
    <w:p w:rsidR="00B83492" w:rsidRDefault="00B83492" w:rsidP="003439B1">
      <w:pPr>
        <w:shd w:val="clear" w:color="auto" w:fill="FFFFFF"/>
        <w:spacing w:line="253" w:lineRule="atLeast"/>
        <w:jc w:val="both"/>
        <w:rPr>
          <w:rFonts w:eastAsia="MS PGothic"/>
          <w:b/>
          <w:color w:val="000000"/>
          <w:sz w:val="28"/>
          <w:szCs w:val="28"/>
        </w:rPr>
      </w:pPr>
    </w:p>
    <w:p w:rsidR="00B83492" w:rsidRDefault="00B83492" w:rsidP="003439B1">
      <w:pPr>
        <w:shd w:val="clear" w:color="auto" w:fill="FFFFFF"/>
        <w:spacing w:line="253" w:lineRule="atLeast"/>
        <w:jc w:val="both"/>
        <w:rPr>
          <w:rFonts w:eastAsia="MS PGothic"/>
          <w:b/>
          <w:color w:val="000000"/>
          <w:sz w:val="28"/>
          <w:szCs w:val="28"/>
        </w:rPr>
      </w:pPr>
    </w:p>
    <w:p w:rsidR="00B83492" w:rsidRDefault="00B83492" w:rsidP="003439B1">
      <w:pPr>
        <w:shd w:val="clear" w:color="auto" w:fill="FFFFFF"/>
        <w:spacing w:line="253" w:lineRule="atLeast"/>
        <w:jc w:val="both"/>
        <w:rPr>
          <w:rFonts w:eastAsia="MS PGothic"/>
          <w:b/>
          <w:color w:val="000000"/>
          <w:sz w:val="28"/>
          <w:szCs w:val="28"/>
        </w:rPr>
      </w:pPr>
    </w:p>
    <w:p w:rsidR="00B83492" w:rsidRDefault="00B83492" w:rsidP="003439B1">
      <w:pPr>
        <w:shd w:val="clear" w:color="auto" w:fill="FFFFFF"/>
        <w:spacing w:line="253" w:lineRule="atLeast"/>
        <w:jc w:val="both"/>
        <w:rPr>
          <w:rFonts w:eastAsia="MS PGothic"/>
          <w:b/>
          <w:color w:val="000000"/>
          <w:sz w:val="28"/>
          <w:szCs w:val="28"/>
        </w:rPr>
      </w:pPr>
    </w:p>
    <w:p w:rsidR="00B83492" w:rsidRDefault="00B83492" w:rsidP="003439B1">
      <w:pPr>
        <w:shd w:val="clear" w:color="auto" w:fill="FFFFFF"/>
        <w:spacing w:line="253" w:lineRule="atLeast"/>
        <w:jc w:val="both"/>
        <w:rPr>
          <w:rFonts w:eastAsia="MS PGothic"/>
          <w:b/>
          <w:color w:val="000000"/>
          <w:sz w:val="28"/>
          <w:szCs w:val="28"/>
        </w:rPr>
      </w:pPr>
    </w:p>
    <w:p w:rsidR="00B83492" w:rsidRDefault="00B83492" w:rsidP="003439B1">
      <w:pPr>
        <w:shd w:val="clear" w:color="auto" w:fill="FFFFFF"/>
        <w:spacing w:line="253" w:lineRule="atLeast"/>
        <w:jc w:val="both"/>
        <w:rPr>
          <w:rFonts w:eastAsia="MS PGothic"/>
          <w:b/>
          <w:color w:val="000000"/>
          <w:sz w:val="28"/>
          <w:szCs w:val="28"/>
        </w:rPr>
      </w:pPr>
    </w:p>
    <w:p w:rsidR="00B83492" w:rsidRDefault="00B83492" w:rsidP="003439B1">
      <w:pPr>
        <w:shd w:val="clear" w:color="auto" w:fill="FFFFFF"/>
        <w:spacing w:line="253" w:lineRule="atLeast"/>
        <w:jc w:val="both"/>
        <w:rPr>
          <w:rFonts w:eastAsia="MS PGothic"/>
          <w:b/>
          <w:color w:val="000000"/>
          <w:sz w:val="28"/>
          <w:szCs w:val="28"/>
        </w:rPr>
      </w:pPr>
    </w:p>
    <w:p w:rsidR="00B83492" w:rsidRDefault="00B83492" w:rsidP="003439B1">
      <w:pPr>
        <w:shd w:val="clear" w:color="auto" w:fill="FFFFFF"/>
        <w:spacing w:line="253" w:lineRule="atLeast"/>
        <w:jc w:val="both"/>
        <w:rPr>
          <w:rFonts w:eastAsia="MS PGothic"/>
          <w:b/>
          <w:color w:val="000000"/>
          <w:sz w:val="28"/>
          <w:szCs w:val="28"/>
        </w:rPr>
      </w:pPr>
    </w:p>
    <w:p w:rsidR="00B83492" w:rsidRDefault="00B83492" w:rsidP="003439B1">
      <w:pPr>
        <w:shd w:val="clear" w:color="auto" w:fill="FFFFFF"/>
        <w:spacing w:line="253" w:lineRule="atLeast"/>
        <w:jc w:val="both"/>
        <w:rPr>
          <w:rFonts w:eastAsia="MS PGothic"/>
          <w:b/>
          <w:color w:val="000000"/>
          <w:sz w:val="28"/>
          <w:szCs w:val="28"/>
        </w:rPr>
      </w:pPr>
    </w:p>
    <w:p w:rsidR="003439B1" w:rsidRDefault="00AC3BCD" w:rsidP="003439B1">
      <w:pPr>
        <w:shd w:val="clear" w:color="auto" w:fill="FFFFFF"/>
        <w:spacing w:line="253" w:lineRule="atLeast"/>
        <w:jc w:val="both"/>
        <w:rPr>
          <w:b/>
          <w:bCs/>
          <w:color w:val="222222"/>
          <w:lang w:val="en-GB" w:eastAsia="ro-RO"/>
        </w:rPr>
      </w:pPr>
      <w:r>
        <w:rPr>
          <w:rFonts w:eastAsia="MS PGothic"/>
          <w:b/>
          <w:color w:val="000000"/>
          <w:sz w:val="28"/>
          <w:szCs w:val="28"/>
        </w:rPr>
        <w:t xml:space="preserve">Title: </w:t>
      </w:r>
      <w:r w:rsidR="003439B1" w:rsidRPr="008A7689">
        <w:rPr>
          <w:b/>
          <w:bCs/>
          <w:color w:val="222222"/>
          <w:lang w:val="en-GB" w:eastAsia="ro-RO"/>
        </w:rPr>
        <w:t>CELLULAR AUTOPHAGY – TREATMENT TARGET FOR THE AGING PROCESS</w:t>
      </w:r>
    </w:p>
    <w:p w:rsidR="003439B1" w:rsidRDefault="003439B1" w:rsidP="003439B1">
      <w:pPr>
        <w:shd w:val="clear" w:color="auto" w:fill="FFFFFF"/>
        <w:spacing w:line="253" w:lineRule="atLeast"/>
        <w:jc w:val="both"/>
        <w:rPr>
          <w:color w:val="222222"/>
          <w:lang w:eastAsia="ro-RO"/>
        </w:rPr>
      </w:pPr>
      <w:r>
        <w:rPr>
          <w:color w:val="222222"/>
          <w:lang w:eastAsia="ro-RO"/>
        </w:rPr>
        <w:t>Aurel Popa-Wagner</w:t>
      </w:r>
    </w:p>
    <w:p w:rsidR="003439B1" w:rsidRPr="008A7689" w:rsidRDefault="003439B1" w:rsidP="003439B1">
      <w:pPr>
        <w:shd w:val="clear" w:color="auto" w:fill="FFFFFF"/>
        <w:spacing w:line="480" w:lineRule="atLeast"/>
        <w:jc w:val="both"/>
        <w:rPr>
          <w:color w:val="222222"/>
          <w:lang w:eastAsia="ro-RO"/>
        </w:rPr>
      </w:pPr>
      <w:r w:rsidRPr="008A7689">
        <w:rPr>
          <w:color w:val="222222"/>
          <w:lang w:val="en-US" w:eastAsia="ro-RO"/>
        </w:rPr>
        <w:t>Department of Neurology, Chair of Vascular Neurology and Dementia, University of Medicine Essen, Germany</w:t>
      </w:r>
    </w:p>
    <w:p w:rsidR="003439B1" w:rsidRPr="008A7689" w:rsidRDefault="003439B1" w:rsidP="003439B1">
      <w:pPr>
        <w:shd w:val="clear" w:color="auto" w:fill="FFFFFF"/>
        <w:spacing w:line="480" w:lineRule="atLeast"/>
        <w:jc w:val="both"/>
        <w:rPr>
          <w:color w:val="222222"/>
          <w:lang w:eastAsia="ro-RO"/>
        </w:rPr>
      </w:pPr>
      <w:r w:rsidRPr="008A7689">
        <w:rPr>
          <w:color w:val="222222"/>
          <w:lang w:eastAsia="ro-RO"/>
        </w:rPr>
        <w:t>E-mail: </w:t>
      </w:r>
      <w:hyperlink r:id="rId9" w:tgtFrame="_blank" w:history="1">
        <w:r w:rsidRPr="008A7689">
          <w:rPr>
            <w:color w:val="1155CC"/>
            <w:u w:val="single"/>
            <w:lang w:eastAsia="ro-RO"/>
          </w:rPr>
          <w:t>aurel.popa-wagner@geriatrics-healthyageing.com</w:t>
        </w:r>
      </w:hyperlink>
    </w:p>
    <w:p w:rsidR="003439B1" w:rsidRPr="00201E67" w:rsidRDefault="003439B1" w:rsidP="003439B1">
      <w:pPr>
        <w:shd w:val="clear" w:color="auto" w:fill="FFFFFF"/>
        <w:spacing w:line="253" w:lineRule="atLeast"/>
        <w:jc w:val="both"/>
        <w:rPr>
          <w:b/>
          <w:bCs/>
          <w:color w:val="222222"/>
          <w:lang w:eastAsia="ro-RO"/>
        </w:rPr>
      </w:pPr>
    </w:p>
    <w:p w:rsidR="003439B1" w:rsidRPr="008A7689" w:rsidRDefault="003439B1" w:rsidP="003439B1">
      <w:pPr>
        <w:shd w:val="clear" w:color="auto" w:fill="FFFFFF"/>
        <w:spacing w:line="360" w:lineRule="auto"/>
        <w:jc w:val="both"/>
        <w:rPr>
          <w:color w:val="222222"/>
          <w:lang w:eastAsia="ro-RO"/>
        </w:rPr>
      </w:pPr>
      <w:r w:rsidRPr="008A7689">
        <w:rPr>
          <w:color w:val="222222"/>
          <w:lang w:val="en-GB" w:eastAsia="ro-RO"/>
        </w:rPr>
        <w:t xml:space="preserve">As life expectancy increases, there is an ever growing interest in preventing these diseases and multiple studies are looking for the answer to a healthy aging. Recently, several studies have focused on various aspects of </w:t>
      </w:r>
      <w:r>
        <w:rPr>
          <w:color w:val="222222"/>
          <w:lang w:val="en-GB" w:eastAsia="ro-RO"/>
        </w:rPr>
        <w:t xml:space="preserve">ageing and </w:t>
      </w:r>
      <w:r w:rsidRPr="008A7689">
        <w:rPr>
          <w:color w:val="222222"/>
          <w:lang w:val="en-GB" w:eastAsia="ro-RO"/>
        </w:rPr>
        <w:t>autophagy</w:t>
      </w:r>
      <w:r>
        <w:rPr>
          <w:color w:val="222222"/>
          <w:lang w:val="en-GB" w:eastAsia="ro-RO"/>
        </w:rPr>
        <w:t>.</w:t>
      </w:r>
      <w:r w:rsidRPr="008A7689">
        <w:rPr>
          <w:color w:val="222222"/>
          <w:lang w:val="en-GB" w:eastAsia="ro-RO"/>
        </w:rPr>
        <w:t xml:space="preserve"> Cellular autophagy plays an important role in cytoprotection and in maintaining cellular homeostasis by preventing accumulation of toxic proteins and by eliminating pathogens. We hypothesized that pharmacological stimulation of autophagy </w:t>
      </w:r>
      <w:r>
        <w:rPr>
          <w:color w:val="222222"/>
          <w:lang w:val="en-GB" w:eastAsia="ro-RO"/>
        </w:rPr>
        <w:t>may lead</w:t>
      </w:r>
      <w:r w:rsidRPr="008A7689">
        <w:rPr>
          <w:color w:val="222222"/>
          <w:lang w:val="en-GB" w:eastAsia="ro-RO"/>
        </w:rPr>
        <w:t xml:space="preserve"> to partial regeneration of aged tissues and </w:t>
      </w:r>
      <w:r>
        <w:rPr>
          <w:color w:val="222222"/>
          <w:lang w:val="en-GB" w:eastAsia="ro-RO"/>
        </w:rPr>
        <w:t>may</w:t>
      </w:r>
      <w:r w:rsidRPr="008A7689">
        <w:rPr>
          <w:color w:val="222222"/>
          <w:lang w:val="en-GB" w:eastAsia="ro-RO"/>
        </w:rPr>
        <w:t xml:space="preserve"> stimulate healthy aging from a cognitive, as well as a functional point of view.</w:t>
      </w:r>
      <w:r>
        <w:rPr>
          <w:color w:val="222222"/>
          <w:lang w:val="en-GB" w:eastAsia="ro-RO"/>
        </w:rPr>
        <w:t xml:space="preserve"> </w:t>
      </w:r>
      <w:r w:rsidRPr="008A7689">
        <w:rPr>
          <w:color w:val="222222"/>
          <w:lang w:val="en-GB" w:eastAsia="ro-RO"/>
        </w:rPr>
        <w:t>Our objective was to assess the efficacy of the drug SPT100 to extend life and improve cognitive function and spatial memory (Water-Maze) and motor function (Rotor-Rod), by st</w:t>
      </w:r>
      <w:r>
        <w:rPr>
          <w:color w:val="222222"/>
          <w:lang w:val="en-GB" w:eastAsia="ro-RO"/>
        </w:rPr>
        <w:t>imulating</w:t>
      </w:r>
      <w:r w:rsidRPr="008A7689">
        <w:rPr>
          <w:color w:val="222222"/>
          <w:lang w:val="en-GB" w:eastAsia="ro-RO"/>
        </w:rPr>
        <w:t xml:space="preserve"> autophagy processes at tissue and cellular level in the brain and the liver through </w:t>
      </w:r>
      <w:r>
        <w:rPr>
          <w:color w:val="222222"/>
          <w:lang w:val="en-GB" w:eastAsia="ro-RO"/>
        </w:rPr>
        <w:t xml:space="preserve">transcriptomic, </w:t>
      </w:r>
      <w:r w:rsidRPr="008A7689">
        <w:rPr>
          <w:color w:val="222222"/>
          <w:lang w:val="en-GB" w:eastAsia="ro-RO"/>
        </w:rPr>
        <w:t>genomic, proteomic and imunohistochemical methods.</w:t>
      </w:r>
      <w:r>
        <w:rPr>
          <w:color w:val="222222"/>
          <w:lang w:val="en-GB" w:eastAsia="ro-RO"/>
        </w:rPr>
        <w:t xml:space="preserve"> </w:t>
      </w:r>
      <w:r w:rsidRPr="008A7689">
        <w:rPr>
          <w:color w:val="222222"/>
          <w:lang w:val="en-GB" w:eastAsia="ro-RO"/>
        </w:rPr>
        <w:t>We found that treatment with SPT100 did not extend the life span of aged rats. However, SPT100 improved the cognitive and motor functions of the aged rats, as assessed with Elevated Plus maze, Latency Curiosity Test and Forced Swim.</w:t>
      </w:r>
      <w:r>
        <w:rPr>
          <w:color w:val="222222"/>
          <w:lang w:val="en-GB" w:eastAsia="ro-RO"/>
        </w:rPr>
        <w:t xml:space="preserve"> </w:t>
      </w:r>
      <w:r w:rsidRPr="008A7689">
        <w:rPr>
          <w:color w:val="222222"/>
          <w:lang w:val="en-GB" w:eastAsia="ro-RO"/>
        </w:rPr>
        <w:t xml:space="preserve">This </w:t>
      </w:r>
      <w:r>
        <w:rPr>
          <w:color w:val="222222"/>
          <w:lang w:val="en-GB" w:eastAsia="ro-RO"/>
        </w:rPr>
        <w:t>compound</w:t>
      </w:r>
      <w:r w:rsidRPr="008A7689">
        <w:rPr>
          <w:color w:val="222222"/>
          <w:lang w:val="en-GB" w:eastAsia="ro-RO"/>
        </w:rPr>
        <w:t xml:space="preserve"> has also promising anti-inflammatory and anti-apoptotic effects on the central nervous system. We hypothesized that long-term treatment with SPT100 could reduce gene expression of various inflammation markers, including: C11, CR3, Tgfb,</w:t>
      </w:r>
      <w:r>
        <w:rPr>
          <w:color w:val="222222"/>
          <w:lang w:val="en-GB" w:eastAsia="ro-RO"/>
        </w:rPr>
        <w:t xml:space="preserve"> Cxcl10, CXCR4, Fcgr3a and Stat</w:t>
      </w:r>
      <w:r w:rsidRPr="008A7689">
        <w:rPr>
          <w:color w:val="222222"/>
          <w:lang w:val="en-GB" w:eastAsia="ro-RO"/>
        </w:rPr>
        <w:t xml:space="preserve">. </w:t>
      </w:r>
      <w:r>
        <w:rPr>
          <w:color w:val="222222"/>
          <w:lang w:val="en-GB" w:eastAsia="ro-RO"/>
        </w:rPr>
        <w:t>Thus,</w:t>
      </w:r>
      <w:r w:rsidRPr="008A7689">
        <w:rPr>
          <w:color w:val="222222"/>
          <w:lang w:val="en-GB" w:eastAsia="ro-RO"/>
        </w:rPr>
        <w:t xml:space="preserve"> </w:t>
      </w:r>
      <w:r>
        <w:rPr>
          <w:color w:val="222222"/>
          <w:lang w:val="en-GB" w:eastAsia="ro-RO"/>
        </w:rPr>
        <w:t>by RT</w:t>
      </w:r>
      <w:r w:rsidRPr="008A7689">
        <w:rPr>
          <w:color w:val="222222"/>
          <w:lang w:val="en-GB" w:eastAsia="ro-RO"/>
        </w:rPr>
        <w:t>–PCR, we found significant decreases in the expression of mRNA coding for inflammation and astroglial markers.</w:t>
      </w:r>
      <w:r>
        <w:rPr>
          <w:color w:val="222222"/>
          <w:lang w:val="en-GB" w:eastAsia="ro-RO"/>
        </w:rPr>
        <w:t xml:space="preserve"> </w:t>
      </w:r>
      <w:r w:rsidRPr="008A7689">
        <w:rPr>
          <w:color w:val="222222"/>
          <w:lang w:val="en-GB" w:eastAsia="ro-RO"/>
        </w:rPr>
        <w:t>These results may offer a basis for further studies regarding the protective mechanisms of autophagy stimulation on the aging process.</w:t>
      </w:r>
    </w:p>
    <w:p w:rsidR="00AC3BCD" w:rsidRDefault="00AC3BCD" w:rsidP="003439B1">
      <w:pPr>
        <w:rPr>
          <w:rFonts w:eastAsia="Batang"/>
          <w:color w:val="0000FF"/>
          <w:sz w:val="36"/>
          <w:szCs w:val="36"/>
        </w:rPr>
      </w:pPr>
    </w:p>
    <w:p w:rsidR="00AC3BCD" w:rsidRDefault="00AC3BCD" w:rsidP="00AC3BCD">
      <w:pPr>
        <w:jc w:val="both"/>
        <w:rPr>
          <w:color w:val="000000"/>
        </w:rPr>
      </w:pPr>
    </w:p>
    <w:p w:rsidR="00AC3BCD" w:rsidRDefault="00AC3BCD" w:rsidP="00AC3BCD">
      <w:pPr>
        <w:jc w:val="both"/>
        <w:rPr>
          <w:b/>
        </w:rPr>
      </w:pPr>
      <w:r>
        <w:rPr>
          <w:b/>
        </w:rPr>
        <w:lastRenderedPageBreak/>
        <w:t>Biography</w:t>
      </w:r>
    </w:p>
    <w:p w:rsidR="00AC3BCD" w:rsidRDefault="00AC3BCD" w:rsidP="00AC3BCD">
      <w:pPr>
        <w:jc w:val="both"/>
        <w:rPr>
          <w:b/>
        </w:rPr>
      </w:pPr>
    </w:p>
    <w:p w:rsidR="00AC3BCD" w:rsidRPr="00A41107" w:rsidRDefault="008B7DC9" w:rsidP="008B7DC9">
      <w:pPr>
        <w:rPr>
          <w:rFonts w:eastAsia="MS PGothic"/>
          <w:b/>
          <w:color w:val="000000"/>
          <w:szCs w:val="32"/>
        </w:rPr>
      </w:pPr>
      <w:r>
        <w:t>Dr. Popa-Wagner</w:t>
      </w:r>
      <w:r w:rsidR="00AC3BCD">
        <w:t xml:space="preserve"> has completed his PhD at the age of </w:t>
      </w:r>
      <w:r>
        <w:t>31</w:t>
      </w:r>
      <w:r w:rsidR="00AC3BCD">
        <w:t xml:space="preserve"> years from University </w:t>
      </w:r>
      <w:r>
        <w:t>of Karlsruhe</w:t>
      </w:r>
      <w:r w:rsidR="00AC3BCD">
        <w:t xml:space="preserve"> postdoctoral studies from </w:t>
      </w:r>
      <w:r>
        <w:t>University of Southern California</w:t>
      </w:r>
      <w:r w:rsidR="00AC3BCD">
        <w:t xml:space="preserve">. </w:t>
      </w:r>
      <w:r w:rsidRPr="008B7DC9">
        <w:t>In 2012, he joined the the Department of Psychiatry, University of Medicine, Rostock, Germany and from 2017 he joined the Chair of Vascular Neurology and Dementia at the Clinic of Neurology, Medical University, Essen, Germany.</w:t>
      </w:r>
      <w:r w:rsidR="00E17B58">
        <w:t xml:space="preserve"> </w:t>
      </w:r>
      <w:bookmarkStart w:id="0" w:name="_GoBack"/>
      <w:bookmarkEnd w:id="0"/>
      <w:r w:rsidR="00AC3BCD">
        <w:t xml:space="preserve">He has published more than </w:t>
      </w:r>
      <w:r>
        <w:t>120</w:t>
      </w:r>
      <w:r w:rsidR="00AC3BCD">
        <w:t xml:space="preserve"> papers in reputed journals and has been serving as an </w:t>
      </w:r>
      <w:r w:rsidR="00E17B58">
        <w:t xml:space="preserve">Associate Editor for several journals and </w:t>
      </w:r>
      <w:r w:rsidR="00AC3BCD">
        <w:t>editorial board member of repute</w:t>
      </w:r>
      <w:r w:rsidR="00E17B58">
        <w:t xml:space="preserve"> for many journals</w:t>
      </w:r>
      <w:r w:rsidR="00AC3BCD">
        <w:t>.</w:t>
      </w:r>
      <w:r w:rsidR="00085B88">
        <w:br/>
      </w:r>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3439B1">
        <w:rPr>
          <w:lang w:val="en-NZ"/>
        </w:rPr>
        <w:t>Aurel Popa-Wagner</w:t>
      </w:r>
      <w:r w:rsidRPr="008A690F">
        <w:rPr>
          <w:lang w:val="en-NZ"/>
        </w:rPr>
        <w:br/>
        <w:t>Contact number:</w:t>
      </w:r>
      <w:r w:rsidR="003439B1">
        <w:rPr>
          <w:lang w:val="en-NZ"/>
        </w:rPr>
        <w:t xml:space="preserve"> +4915202946197</w:t>
      </w:r>
      <w:r w:rsidRPr="008A690F">
        <w:rPr>
          <w:lang w:val="en-NZ"/>
        </w:rPr>
        <w:br/>
        <w:t>Twitter account:</w:t>
      </w:r>
      <w:r w:rsidRPr="008A690F">
        <w:rPr>
          <w:lang w:val="en-NZ"/>
        </w:rPr>
        <w:br/>
        <w:t>Linked In account:</w:t>
      </w:r>
    </w:p>
    <w:p w:rsidR="00AC3BCD"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00E17B58">
        <w:rPr>
          <w:lang w:val="en-NZ"/>
        </w:rPr>
        <w:t xml:space="preserve"> Longevity and medicine</w:t>
      </w:r>
      <w:r w:rsidRPr="008A690F">
        <w:rPr>
          <w:lang w:val="en-NZ"/>
        </w:rPr>
        <w:br/>
        <w:t>Category: Oral presentation</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D30FC" w:rsidRDefault="00ED30FC" w:rsidP="00671A59">
      <w:r>
        <w:separator/>
      </w:r>
    </w:p>
  </w:endnote>
  <w:endnote w:type="continuationSeparator" w:id="0">
    <w:p w:rsidR="00ED30FC" w:rsidRDefault="00ED30FC"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D30FC" w:rsidRDefault="00ED30FC" w:rsidP="00671A59">
      <w:r>
        <w:separator/>
      </w:r>
    </w:p>
  </w:footnote>
  <w:footnote w:type="continuationSeparator" w:id="0">
    <w:p w:rsidR="00ED30FC" w:rsidRDefault="00ED30FC"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0333" w:rsidRPr="00671A59" w:rsidRDefault="007F0333">
    <w:pPr>
      <w:pStyle w:val="Kopfzeile"/>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8"/>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439B1"/>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8B7DC9"/>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83492"/>
    <w:rsid w:val="00BF5676"/>
    <w:rsid w:val="00CE08A2"/>
    <w:rsid w:val="00D217E0"/>
    <w:rsid w:val="00D367E3"/>
    <w:rsid w:val="00DA2249"/>
    <w:rsid w:val="00DA581F"/>
    <w:rsid w:val="00DC29A1"/>
    <w:rsid w:val="00DC7405"/>
    <w:rsid w:val="00DD3006"/>
    <w:rsid w:val="00DE2102"/>
    <w:rsid w:val="00E119D1"/>
    <w:rsid w:val="00E17B58"/>
    <w:rsid w:val="00E713DA"/>
    <w:rsid w:val="00E85CF8"/>
    <w:rsid w:val="00EB353E"/>
    <w:rsid w:val="00ED30FC"/>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AB67B5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Pr>
      <w:sz w:val="24"/>
      <w:szCs w:val="24"/>
      <w:lang w:val="it-IT" w:eastAsia="it-IT"/>
    </w:rPr>
  </w:style>
  <w:style w:type="paragraph" w:styleId="berschrift1">
    <w:name w:val="heading 1"/>
    <w:aliases w:val="title"/>
    <w:basedOn w:val="Standard"/>
    <w:next w:val="Standard"/>
    <w:link w:val="berschrift1Zchn"/>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berschrift3">
    <w:name w:val="heading 3"/>
    <w:aliases w:val="Authors"/>
    <w:basedOn w:val="Standard"/>
    <w:next w:val="Standard"/>
    <w:link w:val="berschrift3Zchn"/>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Absatz-Standardschriftart">
    <w:name w:val="Default Paragraph Font"/>
    <w:uiPriority w:val="99"/>
    <w:semiHidden/>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aliases w:val="title Zchn"/>
    <w:link w:val="berschrift1"/>
    <w:uiPriority w:val="9"/>
    <w:rPr>
      <w:rFonts w:ascii="Cambria" w:eastAsia="Times New Roman" w:hAnsi="Cambria" w:cs="Times New Roman"/>
      <w:b/>
      <w:bCs/>
      <w:kern w:val="32"/>
      <w:sz w:val="32"/>
      <w:szCs w:val="32"/>
    </w:rPr>
  </w:style>
  <w:style w:type="character" w:customStyle="1" w:styleId="berschrift3Zchn">
    <w:name w:val="Überschrift 3 Zchn"/>
    <w:aliases w:val="Authors Zchn"/>
    <w:link w:val="berschrift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Textkrper">
    <w:name w:val="Body Text"/>
    <w:basedOn w:val="Standard"/>
    <w:link w:val="TextkrperZchn"/>
    <w:uiPriority w:val="99"/>
    <w:rsid w:val="007258AA"/>
    <w:pPr>
      <w:suppressAutoHyphens/>
      <w:jc w:val="center"/>
    </w:pPr>
    <w:rPr>
      <w:rFonts w:cs="Gautami"/>
      <w:lang w:val="x-none" w:eastAsia="x-none" w:bidi="te-IN"/>
    </w:rPr>
  </w:style>
  <w:style w:type="character" w:customStyle="1" w:styleId="TextkrperZchn">
    <w:name w:val="Textkörper Zchn"/>
    <w:link w:val="Textkrper"/>
    <w:uiPriority w:val="99"/>
    <w:semiHidden/>
    <w:rPr>
      <w:sz w:val="24"/>
      <w:szCs w:val="24"/>
    </w:rPr>
  </w:style>
  <w:style w:type="character" w:styleId="Kommentarzeichen">
    <w:name w:val="annotation reference"/>
    <w:uiPriority w:val="99"/>
    <w:semiHidden/>
    <w:rsid w:val="00205354"/>
    <w:rPr>
      <w:rFonts w:cs="Times New Roman"/>
      <w:sz w:val="16"/>
      <w:szCs w:val="16"/>
    </w:rPr>
  </w:style>
  <w:style w:type="paragraph" w:styleId="Kommentartext">
    <w:name w:val="annotation text"/>
    <w:basedOn w:val="Standard"/>
    <w:link w:val="KommentartextZchn"/>
    <w:uiPriority w:val="99"/>
    <w:semiHidden/>
    <w:rsid w:val="00205354"/>
    <w:rPr>
      <w:rFonts w:cs="Gautami"/>
      <w:sz w:val="20"/>
      <w:szCs w:val="20"/>
      <w:lang w:val="x-none" w:eastAsia="x-none" w:bidi="te-IN"/>
    </w:rPr>
  </w:style>
  <w:style w:type="character" w:customStyle="1" w:styleId="KommentartextZchn">
    <w:name w:val="Kommentartext Zchn"/>
    <w:link w:val="Kommentartext"/>
    <w:uiPriority w:val="99"/>
    <w:semiHidden/>
    <w:rPr>
      <w:sz w:val="20"/>
      <w:szCs w:val="20"/>
    </w:rPr>
  </w:style>
  <w:style w:type="paragraph" w:styleId="Kommentarthema">
    <w:name w:val="annotation subject"/>
    <w:basedOn w:val="Kommentartext"/>
    <w:next w:val="Kommentartext"/>
    <w:link w:val="KommentarthemaZchn"/>
    <w:uiPriority w:val="99"/>
    <w:semiHidden/>
    <w:rsid w:val="00205354"/>
    <w:rPr>
      <w:b/>
      <w:bCs/>
    </w:rPr>
  </w:style>
  <w:style w:type="character" w:customStyle="1" w:styleId="KommentarthemaZchn">
    <w:name w:val="Kommentarthema Zchn"/>
    <w:link w:val="Kommentarthema"/>
    <w:uiPriority w:val="99"/>
    <w:semiHidden/>
    <w:rPr>
      <w:b/>
      <w:bCs/>
      <w:sz w:val="20"/>
      <w:szCs w:val="20"/>
    </w:rPr>
  </w:style>
  <w:style w:type="paragraph" w:styleId="Sprechblasentext">
    <w:name w:val="Balloon Text"/>
    <w:basedOn w:val="Standard"/>
    <w:link w:val="SprechblasentextZchn"/>
    <w:uiPriority w:val="99"/>
    <w:semiHidden/>
    <w:rsid w:val="00205354"/>
    <w:rPr>
      <w:rFonts w:ascii="Tahoma" w:hAnsi="Tahoma" w:cs="Gautami"/>
      <w:sz w:val="16"/>
      <w:szCs w:val="16"/>
      <w:lang w:val="x-none" w:eastAsia="x-none" w:bidi="te-IN"/>
    </w:rPr>
  </w:style>
  <w:style w:type="character" w:customStyle="1" w:styleId="SprechblasentextZchn">
    <w:name w:val="Sprechblasentext Zchn"/>
    <w:link w:val="Sprechblasentext"/>
    <w:uiPriority w:val="99"/>
    <w:semiHidden/>
    <w:rPr>
      <w:rFonts w:ascii="Tahoma" w:hAnsi="Tahoma" w:cs="Tahoma"/>
      <w:sz w:val="16"/>
      <w:szCs w:val="16"/>
    </w:rPr>
  </w:style>
  <w:style w:type="paragraph" w:styleId="Textkrper-Zeileneinzug">
    <w:name w:val="Body Text Indent"/>
    <w:basedOn w:val="Standard"/>
    <w:link w:val="Textkrper-ZeileneinzugZchn"/>
    <w:uiPriority w:val="99"/>
    <w:rsid w:val="00FC1073"/>
    <w:pPr>
      <w:spacing w:after="120"/>
      <w:ind w:left="283"/>
    </w:pPr>
    <w:rPr>
      <w:rFonts w:cs="Gautami"/>
      <w:lang w:val="x-none" w:eastAsia="x-none" w:bidi="te-IN"/>
    </w:rPr>
  </w:style>
  <w:style w:type="character" w:customStyle="1" w:styleId="Textkrper-ZeileneinzugZchn">
    <w:name w:val="Textkörper-Zeileneinzug Zchn"/>
    <w:link w:val="Textkrper-Zeileneinzug"/>
    <w:uiPriority w:val="99"/>
    <w:semiHidden/>
    <w:rPr>
      <w:sz w:val="24"/>
      <w:szCs w:val="24"/>
    </w:rPr>
  </w:style>
  <w:style w:type="paragraph" w:styleId="Kopfzeile">
    <w:name w:val="header"/>
    <w:basedOn w:val="Standard"/>
    <w:link w:val="KopfzeileZchn"/>
    <w:uiPriority w:val="99"/>
    <w:unhideWhenUsed/>
    <w:rsid w:val="00671A59"/>
    <w:pPr>
      <w:tabs>
        <w:tab w:val="center" w:pos="4819"/>
        <w:tab w:val="right" w:pos="9638"/>
      </w:tabs>
    </w:pPr>
    <w:rPr>
      <w:rFonts w:cs="Gautami"/>
      <w:lang w:val="x-none" w:eastAsia="x-none" w:bidi="te-IN"/>
    </w:rPr>
  </w:style>
  <w:style w:type="character" w:customStyle="1" w:styleId="KopfzeileZchn">
    <w:name w:val="Kopfzeile Zchn"/>
    <w:link w:val="Kopfzeile"/>
    <w:uiPriority w:val="99"/>
    <w:rsid w:val="00671A59"/>
    <w:rPr>
      <w:sz w:val="24"/>
      <w:szCs w:val="24"/>
    </w:rPr>
  </w:style>
  <w:style w:type="paragraph" w:styleId="Fuzeile">
    <w:name w:val="footer"/>
    <w:basedOn w:val="Standard"/>
    <w:link w:val="FuzeileZchn"/>
    <w:uiPriority w:val="99"/>
    <w:semiHidden/>
    <w:unhideWhenUsed/>
    <w:rsid w:val="00671A59"/>
    <w:pPr>
      <w:tabs>
        <w:tab w:val="center" w:pos="4819"/>
        <w:tab w:val="right" w:pos="9638"/>
      </w:tabs>
    </w:pPr>
    <w:rPr>
      <w:rFonts w:cs="Gautami"/>
      <w:lang w:val="x-none" w:eastAsia="x-none" w:bidi="te-IN"/>
    </w:rPr>
  </w:style>
  <w:style w:type="character" w:customStyle="1" w:styleId="FuzeileZchn">
    <w:name w:val="Fußzeile Zchn"/>
    <w:link w:val="Fuzeile"/>
    <w:uiPriority w:val="99"/>
    <w:semiHidden/>
    <w:rsid w:val="00671A59"/>
    <w:rPr>
      <w:sz w:val="24"/>
      <w:szCs w:val="24"/>
    </w:rPr>
  </w:style>
  <w:style w:type="paragraph" w:customStyle="1" w:styleId="xmsonormal">
    <w:name w:val="x_msonormal"/>
    <w:basedOn w:val="Standard"/>
    <w:rsid w:val="00A76E81"/>
  </w:style>
  <w:style w:type="paragraph" w:styleId="StandardWeb">
    <w:name w:val="Normal (Web)"/>
    <w:basedOn w:val="Standard"/>
    <w:rsid w:val="00A76E81"/>
  </w:style>
  <w:style w:type="paragraph" w:customStyle="1" w:styleId="xmsonormal0">
    <w:name w:val="xmsonormal"/>
    <w:basedOn w:val="Standard"/>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urel.popa-wagner@geriatrics-healthyageing.com" TargetMode="External"/><Relationship Id="rId14" Type="http://schemas.openxmlformats.org/officeDocument/2006/relationships/header" Target="header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85E1C7-0468-124C-8967-7010DD1BF9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405</Words>
  <Characters>2558</Characters>
  <Application>Microsoft Office Word</Application>
  <DocSecurity>0</DocSecurity>
  <Lines>21</Lines>
  <Paragraphs>5</Paragraphs>
  <ScaleCrop>false</ScaleCrop>
  <HeadingPairs>
    <vt:vector size="6" baseType="variant">
      <vt:variant>
        <vt:lpstr>Titel</vt:lpstr>
      </vt:variant>
      <vt:variant>
        <vt:i4>1</vt:i4>
      </vt:variant>
      <vt:variant>
        <vt:lpstr>Title</vt:lpstr>
      </vt:variant>
      <vt:variant>
        <vt:i4>1</vt:i4>
      </vt:variant>
      <vt:variant>
        <vt:lpstr>Titolo</vt:lpstr>
      </vt:variant>
      <vt:variant>
        <vt:i4>1</vt:i4>
      </vt:variant>
    </vt:vector>
  </HeadingPairs>
  <TitlesOfParts>
    <vt:vector size="3" baseType="lpstr">
      <vt:lpstr> </vt:lpstr>
      <vt:lpstr> </vt:lpstr>
      <vt:lpstr> </vt:lpstr>
    </vt:vector>
  </TitlesOfParts>
  <LinksUpToDate>false</LinksUpToDate>
  <CharactersWithSpaces>2958</CharactersWithSpaces>
  <SharedDoc>false</SharedDoc>
  <HLinks>
    <vt:vector size="6" baseType="variant">
      <vt:variant>
        <vt:i4>5177379</vt:i4>
      </vt:variant>
      <vt:variant>
        <vt:i4>0</vt:i4>
      </vt:variant>
      <vt:variant>
        <vt:i4>0</vt:i4>
      </vt:variant>
      <vt:variant>
        <vt:i4>5</vt:i4>
      </vt:variant>
      <vt:variant>
        <vt:lpwstr>mailto:aurel.popa-wagner@geriatrics-healthyageing.com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2018-11-12T16:16:00Z</dcterms:created>
  <dcterms:modified xsi:type="dcterms:W3CDTF">2018-11-12T16:24:00Z</dcterms:modified>
</cp:coreProperties>
</file>