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CAD" w:rsidRDefault="001A5CAD" w:rsidP="007364C3">
      <w:pPr>
        <w:spacing w:line="48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Abstract</w:t>
      </w:r>
      <w:bookmarkStart w:id="0" w:name="_GoBack"/>
      <w:bookmarkEnd w:id="0"/>
    </w:p>
    <w:p w:rsidR="001A5CAD" w:rsidRPr="007364C3" w:rsidRDefault="007364C3" w:rsidP="007364C3">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Statement of the problem: </w:t>
      </w:r>
      <w:r w:rsidR="001A5CAD">
        <w:rPr>
          <w:rFonts w:ascii="Times New Roman" w:hAnsi="Times New Roman" w:cs="Times New Roman"/>
          <w:color w:val="000000" w:themeColor="text1"/>
          <w:sz w:val="24"/>
          <w:szCs w:val="24"/>
        </w:rPr>
        <w:t xml:space="preserve">Potential Inappropriate prescribing (PIP), Drug-Drug </w:t>
      </w:r>
      <w:proofErr w:type="spellStart"/>
      <w:r w:rsidR="001A5CAD">
        <w:rPr>
          <w:rFonts w:ascii="Times New Roman" w:hAnsi="Times New Roman" w:cs="Times New Roman"/>
          <w:color w:val="000000" w:themeColor="text1"/>
          <w:sz w:val="24"/>
          <w:szCs w:val="24"/>
        </w:rPr>
        <w:t>interations</w:t>
      </w:r>
      <w:proofErr w:type="spellEnd"/>
      <w:r w:rsidR="001A5CAD">
        <w:rPr>
          <w:rFonts w:ascii="Times New Roman" w:hAnsi="Times New Roman" w:cs="Times New Roman"/>
          <w:color w:val="000000" w:themeColor="text1"/>
          <w:sz w:val="24"/>
          <w:szCs w:val="24"/>
        </w:rPr>
        <w:t xml:space="preserve"> (DDIs), and polypharmacy are major risk factors for adverse drug reactions among older persons. Although these factors in many cases co-exist in prescriptions to older persons, very few studies have evaluated the associations am</w:t>
      </w:r>
      <w:r>
        <w:rPr>
          <w:rFonts w:ascii="Times New Roman" w:hAnsi="Times New Roman" w:cs="Times New Roman"/>
          <w:color w:val="000000" w:themeColor="text1"/>
          <w:sz w:val="24"/>
          <w:szCs w:val="24"/>
        </w:rPr>
        <w:t xml:space="preserve">ong these factors concurrently. </w:t>
      </w:r>
      <w:r w:rsidR="001A5CAD">
        <w:rPr>
          <w:rFonts w:ascii="Times New Roman" w:hAnsi="Times New Roman" w:cs="Times New Roman"/>
          <w:color w:val="000000" w:themeColor="text1"/>
          <w:sz w:val="24"/>
          <w:szCs w:val="24"/>
        </w:rPr>
        <w:t xml:space="preserve">This study aimed to assess PIP and DDIs, and to determine the relationship between polypharmacy, PIP, and DDIs among Nigerian older persons. </w:t>
      </w:r>
      <w:r>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 xml:space="preserve">Methodology and Theoretical Orientation: </w:t>
      </w:r>
      <w:r w:rsidR="001A5CAD">
        <w:rPr>
          <w:rFonts w:ascii="Times New Roman" w:hAnsi="Times New Roman" w:cs="Times New Roman"/>
          <w:color w:val="000000" w:themeColor="text1"/>
          <w:sz w:val="24"/>
          <w:szCs w:val="24"/>
        </w:rPr>
        <w:t xml:space="preserve">This study was a retrospective evaluation of medicine utilization among older persons at </w:t>
      </w:r>
      <w:proofErr w:type="spellStart"/>
      <w:r w:rsidR="001A5CAD">
        <w:rPr>
          <w:rFonts w:ascii="Times New Roman" w:hAnsi="Times New Roman" w:cs="Times New Roman"/>
          <w:color w:val="000000" w:themeColor="text1"/>
          <w:sz w:val="24"/>
          <w:szCs w:val="24"/>
        </w:rPr>
        <w:t>Olabisi</w:t>
      </w:r>
      <w:proofErr w:type="spellEnd"/>
      <w:r w:rsidR="001A5CAD">
        <w:rPr>
          <w:rFonts w:ascii="Times New Roman" w:hAnsi="Times New Roman" w:cs="Times New Roman"/>
          <w:color w:val="000000" w:themeColor="text1"/>
          <w:sz w:val="24"/>
          <w:szCs w:val="24"/>
        </w:rPr>
        <w:t xml:space="preserve"> </w:t>
      </w:r>
      <w:proofErr w:type="spellStart"/>
      <w:r w:rsidR="001A5CAD">
        <w:rPr>
          <w:rFonts w:ascii="Times New Roman" w:hAnsi="Times New Roman" w:cs="Times New Roman"/>
          <w:color w:val="000000" w:themeColor="text1"/>
          <w:sz w:val="24"/>
          <w:szCs w:val="24"/>
        </w:rPr>
        <w:t>Onabanjo</w:t>
      </w:r>
      <w:proofErr w:type="spellEnd"/>
      <w:r w:rsidR="001A5CAD">
        <w:rPr>
          <w:rFonts w:ascii="Times New Roman" w:hAnsi="Times New Roman" w:cs="Times New Roman"/>
          <w:color w:val="000000" w:themeColor="text1"/>
          <w:sz w:val="24"/>
          <w:szCs w:val="24"/>
        </w:rPr>
        <w:t xml:space="preserve"> University Teaching Hospital, Nigeria, using a medical chart review. Older persons aged ≥60 years, with pre-existing chronic diseases that attended the medical outpatient clinics of the hospital between January and December 2016 were included. Eligible patients’ records were systematically sampled. Information including patients’ demographics, medical and medication histories and medicine utilization were extracted with a checklist. PIP and DDIs were evaluated using the 2015 updated Beers Criteria. Asso</w:t>
      </w:r>
      <w:r>
        <w:rPr>
          <w:rFonts w:ascii="Times New Roman" w:hAnsi="Times New Roman" w:cs="Times New Roman"/>
          <w:color w:val="000000" w:themeColor="text1"/>
          <w:sz w:val="24"/>
          <w:szCs w:val="24"/>
        </w:rPr>
        <w:t xml:space="preserve">ciations were determined using </w:t>
      </w:r>
      <w:r w:rsidR="001A5CAD">
        <w:rPr>
          <w:rFonts w:ascii="Times New Roman" w:hAnsi="Times New Roman" w:cs="Times New Roman"/>
          <w:color w:val="000000" w:themeColor="text1"/>
          <w:sz w:val="24"/>
          <w:szCs w:val="24"/>
        </w:rPr>
        <w:t>Chi-squared test and a multivariate regression model.</w:t>
      </w:r>
      <w:r>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Findings:</w:t>
      </w:r>
      <w:r>
        <w:rPr>
          <w:rFonts w:ascii="Times New Roman" w:hAnsi="Times New Roman" w:cs="Times New Roman"/>
          <w:color w:val="000000" w:themeColor="text1"/>
          <w:sz w:val="24"/>
          <w:szCs w:val="24"/>
        </w:rPr>
        <w:t xml:space="preserve"> </w:t>
      </w:r>
      <w:r w:rsidR="001A5CAD">
        <w:rPr>
          <w:rFonts w:ascii="Times New Roman" w:hAnsi="Times New Roman" w:cs="Times New Roman"/>
          <w:color w:val="000000" w:themeColor="text1"/>
          <w:sz w:val="24"/>
          <w:szCs w:val="24"/>
        </w:rPr>
        <w:t xml:space="preserve">A total of 352 participants mean age 69.03±7.35 years were evaluated. More than one-third of the participants (124/352, 35.2%) received at least one PIP, (192/352, 54.5%) received polypharmacy, (20/352, 5.7%) received prescriptions containing at least one potential DDI according to the Beers Criteria. Polypharmacy was not significantly associated with PIP among the participants in the multivariate analysis (OR=1.32,95%CI, 0.69-2.54, p&gt;0.05). </w:t>
      </w:r>
      <w:r>
        <w:rPr>
          <w:rFonts w:ascii="Times New Roman" w:hAnsi="Times New Roman" w:cs="Times New Roman"/>
          <w:bCs/>
          <w:color w:val="000000" w:themeColor="text1"/>
          <w:sz w:val="24"/>
          <w:szCs w:val="24"/>
        </w:rPr>
        <w:t>Conclusion and significance:</w:t>
      </w:r>
      <w:r w:rsidR="001A5CAD">
        <w:rPr>
          <w:rFonts w:ascii="Times New Roman" w:hAnsi="Times New Roman" w:cs="Times New Roman"/>
          <w:bCs/>
          <w:color w:val="000000" w:themeColor="text1"/>
          <w:sz w:val="24"/>
          <w:szCs w:val="24"/>
        </w:rPr>
        <w:t xml:space="preserve"> </w:t>
      </w:r>
      <w:r w:rsidR="001A5CAD">
        <w:rPr>
          <w:rFonts w:ascii="Times New Roman" w:hAnsi="Times New Roman" w:cs="Times New Roman"/>
          <w:color w:val="000000" w:themeColor="text1"/>
          <w:sz w:val="24"/>
          <w:szCs w:val="24"/>
        </w:rPr>
        <w:t xml:space="preserve">More than one-third of the participants received at least one PIP during the study period. Polypharmacy was not significantly associated with PIP among the study participants. </w:t>
      </w:r>
      <w:r>
        <w:rPr>
          <w:rFonts w:ascii="Times New Roman" w:hAnsi="Times New Roman" w:cs="Times New Roman"/>
          <w:color w:val="000000" w:themeColor="text1"/>
          <w:sz w:val="24"/>
          <w:szCs w:val="24"/>
        </w:rPr>
        <w:t>This indicates that older persons in Nigeria are exposed to PIP in the healthcare facility.</w:t>
      </w:r>
    </w:p>
    <w:p w:rsidR="001A5CAD" w:rsidRDefault="001A5CAD" w:rsidP="001A5CAD">
      <w:pPr>
        <w:tabs>
          <w:tab w:val="right" w:pos="9360"/>
        </w:tabs>
        <w:spacing w:line="48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Keywords</w:t>
      </w:r>
    </w:p>
    <w:p w:rsidR="001A5CAD" w:rsidRPr="007364C3" w:rsidRDefault="001A5CAD" w:rsidP="001A5CAD">
      <w:pPr>
        <w:tabs>
          <w:tab w:val="right" w:pos="9360"/>
        </w:tabs>
        <w:spacing w:line="480" w:lineRule="auto"/>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lastRenderedPageBreak/>
        <w:t>Drug interactions, hypertension, criteria, prescribing, Amitriptyline</w:t>
      </w:r>
    </w:p>
    <w:p w:rsidR="001A5CAD" w:rsidRDefault="007364C3" w:rsidP="001A5CAD">
      <w:pPr>
        <w:spacing w:line="480" w:lineRule="auto"/>
        <w:jc w:val="both"/>
        <w:rPr>
          <w:rFonts w:ascii="Times New Roman" w:hAnsi="Times New Roman" w:cs="Times New Roman"/>
          <w:bCs/>
          <w:color w:val="000000" w:themeColor="text1"/>
          <w:sz w:val="24"/>
          <w:szCs w:val="24"/>
        </w:rPr>
      </w:pPr>
      <w:r w:rsidRPr="007364C3">
        <w:rPr>
          <w:rFonts w:ascii="Times New Roman" w:hAnsi="Times New Roman" w:cs="Times New Roman"/>
          <w:bCs/>
          <w:color w:val="000000" w:themeColor="text1"/>
          <w:sz w:val="24"/>
          <w:szCs w:val="24"/>
        </w:rPr>
        <w:t>Recent publications</w:t>
      </w:r>
      <w:r>
        <w:rPr>
          <w:rFonts w:ascii="Times New Roman" w:hAnsi="Times New Roman" w:cs="Times New Roman"/>
          <w:bCs/>
          <w:color w:val="000000" w:themeColor="text1"/>
          <w:sz w:val="24"/>
          <w:szCs w:val="24"/>
        </w:rPr>
        <w:t xml:space="preserve">: </w:t>
      </w:r>
    </w:p>
    <w:p w:rsidR="007364C3" w:rsidRDefault="007364C3" w:rsidP="007364C3">
      <w:pPr>
        <w:pStyle w:val="EndNoteBibliography"/>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ab/>
        <w:t>Davies EA, O'Mahony MS. Adverse drug reactions in special populations - older persons. BCP British Journal of Clinical Pharmacology. 2015;80(4):796-807.</w:t>
      </w:r>
    </w:p>
    <w:p w:rsidR="007364C3" w:rsidRDefault="007364C3" w:rsidP="007364C3">
      <w:pPr>
        <w:pStyle w:val="EndNoteBibliography"/>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Pr>
          <w:rFonts w:ascii="Times New Roman" w:hAnsi="Times New Roman" w:cs="Times New Roman"/>
          <w:color w:val="000000" w:themeColor="text1"/>
          <w:sz w:val="24"/>
          <w:szCs w:val="24"/>
        </w:rPr>
        <w:tab/>
        <w:t>van der Stelt CAK, Vermeulen Windsant-van den Tweel AMA, Egberts ACG, van den Bemt PMLA, Leendertse AJ, Hermens WAJJ, et al. The Association Between Potentially Inappropriate Prescribing and Medication-Related Hospital Admissions in Older Patients: A Nested Case Control Study. Drug Saf Drug Safety. 2016;39(1):79-87.</w:t>
      </w:r>
    </w:p>
    <w:p w:rsidR="007364C3" w:rsidRDefault="007364C3" w:rsidP="007364C3">
      <w:pPr>
        <w:pStyle w:val="EndNoteBibliography"/>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Rakesh KB, Chowta MN, Shenoy AK, Shastry R, Pai SB. Evaluation of polypharmacy and appropriateness of prescription in geriatric patients: A cross-sectional study at a tertiary care hospital. Indian Journal of Pharmacology. 2017;49(1).</w:t>
      </w:r>
    </w:p>
    <w:p w:rsidR="007364C3" w:rsidRDefault="007364C3" w:rsidP="007364C3">
      <w:pPr>
        <w:pStyle w:val="EndNoteBibliography"/>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Salwe KJ, Kalyansundaram D, Bahurupi Y. A Study on Polypharmacy and Potential Drug-Drug Interactions among older Patients Admitted in Department of Medicine of a Tertiary Care Hospital in Puducherry. Journal of Clinical and Diagnostic Research : JCDR. 2016;10(2):06-10.</w:t>
      </w:r>
    </w:p>
    <w:p w:rsidR="007364C3" w:rsidRDefault="007364C3" w:rsidP="007364C3">
      <w:pPr>
        <w:pStyle w:val="EndNoteBibliography"/>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Novaes PH, da Cruz DT, Lucchetti ALG, Leite ICG, Lucchetti G. The "iatrogenic triad": polypharmacy, drug-drug interactions, and potentially inappropriate medications in older adults. International Journal of Clinical Pharmacy. 2017;39(4):818-25.</w:t>
      </w:r>
    </w:p>
    <w:p w:rsidR="007364C3" w:rsidRDefault="007364C3" w:rsidP="007364C3">
      <w:pPr>
        <w:pStyle w:val="EndNoteBibliography"/>
        <w:spacing w:after="0"/>
        <w:jc w:val="both"/>
        <w:rPr>
          <w:rFonts w:ascii="Times New Roman" w:hAnsi="Times New Roman" w:cs="Times New Roman"/>
          <w:color w:val="000000" w:themeColor="text1"/>
          <w:sz w:val="24"/>
          <w:szCs w:val="24"/>
        </w:rPr>
      </w:pPr>
    </w:p>
    <w:p w:rsidR="007364C3" w:rsidRDefault="007364C3" w:rsidP="007364C3">
      <w:pPr>
        <w:pStyle w:val="EndNoteBibliography"/>
        <w:spacing w:after="0"/>
        <w:jc w:val="both"/>
        <w:rPr>
          <w:rFonts w:ascii="Times New Roman" w:hAnsi="Times New Roman" w:cs="Times New Roman"/>
          <w:color w:val="000000" w:themeColor="text1"/>
          <w:sz w:val="24"/>
          <w:szCs w:val="24"/>
        </w:rPr>
      </w:pPr>
    </w:p>
    <w:p w:rsidR="007364C3" w:rsidRDefault="000C7EFF" w:rsidP="001A5CAD">
      <w:pPr>
        <w:spacing w:line="48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Biography</w:t>
      </w:r>
    </w:p>
    <w:p w:rsidR="000C7EFF" w:rsidRPr="007364C3" w:rsidRDefault="000C7EFF" w:rsidP="000C7EFF">
      <w:pPr>
        <w:spacing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Saka Sule </w:t>
      </w:r>
      <w:proofErr w:type="spellStart"/>
      <w:r>
        <w:rPr>
          <w:rFonts w:ascii="Times New Roman" w:hAnsi="Times New Roman" w:cs="Times New Roman"/>
          <w:bCs/>
          <w:color w:val="000000" w:themeColor="text1"/>
          <w:sz w:val="24"/>
          <w:szCs w:val="24"/>
        </w:rPr>
        <w:t>Ajibola</w:t>
      </w:r>
      <w:proofErr w:type="spellEnd"/>
      <w:r>
        <w:rPr>
          <w:rFonts w:ascii="Times New Roman" w:hAnsi="Times New Roman" w:cs="Times New Roman"/>
          <w:bCs/>
          <w:color w:val="000000" w:themeColor="text1"/>
          <w:sz w:val="24"/>
          <w:szCs w:val="24"/>
        </w:rPr>
        <w:t xml:space="preserve"> is a doctoral candidate at University of KwaZulu-Natal, Durban South Africa. He specializes in geriatric pharmacotherapy, pharmacy practice and medicine utilization. He also has interest in health system analysis He has published six articles in peer review journals.</w:t>
      </w:r>
    </w:p>
    <w:p w:rsidR="001A5CAD" w:rsidRPr="000C7EFF" w:rsidRDefault="000C7EFF" w:rsidP="000C7EFF">
      <w:pPr>
        <w:tabs>
          <w:tab w:val="right" w:pos="9360"/>
        </w:tabs>
        <w:spacing w:line="240" w:lineRule="auto"/>
        <w:jc w:val="both"/>
        <w:rPr>
          <w:rFonts w:ascii="Times New Roman" w:hAnsi="Times New Roman" w:cs="Times New Roman"/>
          <w:bCs/>
          <w:color w:val="000000" w:themeColor="text1"/>
          <w:sz w:val="24"/>
          <w:szCs w:val="24"/>
        </w:rPr>
      </w:pPr>
      <w:r w:rsidRPr="000C7EFF">
        <w:rPr>
          <w:rFonts w:ascii="Times New Roman" w:hAnsi="Times New Roman" w:cs="Times New Roman"/>
          <w:bCs/>
          <w:color w:val="000000" w:themeColor="text1"/>
          <w:sz w:val="24"/>
          <w:szCs w:val="24"/>
        </w:rPr>
        <w:t>Presenting author details</w:t>
      </w:r>
    </w:p>
    <w:p w:rsidR="000C7EFF" w:rsidRPr="000C7EFF" w:rsidRDefault="000C7EFF" w:rsidP="000C7EFF">
      <w:pPr>
        <w:tabs>
          <w:tab w:val="right" w:pos="9360"/>
        </w:tabs>
        <w:spacing w:line="240" w:lineRule="auto"/>
        <w:jc w:val="both"/>
        <w:rPr>
          <w:rFonts w:ascii="Times New Roman" w:hAnsi="Times New Roman" w:cs="Times New Roman"/>
          <w:bCs/>
          <w:color w:val="000000" w:themeColor="text1"/>
          <w:sz w:val="24"/>
          <w:szCs w:val="24"/>
        </w:rPr>
      </w:pPr>
      <w:r w:rsidRPr="000C7EFF">
        <w:rPr>
          <w:rFonts w:ascii="Times New Roman" w:hAnsi="Times New Roman" w:cs="Times New Roman"/>
          <w:bCs/>
          <w:color w:val="000000" w:themeColor="text1"/>
          <w:sz w:val="24"/>
          <w:szCs w:val="24"/>
        </w:rPr>
        <w:t xml:space="preserve">Full name: Saka Sule </w:t>
      </w:r>
      <w:proofErr w:type="spellStart"/>
      <w:r w:rsidRPr="000C7EFF">
        <w:rPr>
          <w:rFonts w:ascii="Times New Roman" w:hAnsi="Times New Roman" w:cs="Times New Roman"/>
          <w:bCs/>
          <w:color w:val="000000" w:themeColor="text1"/>
          <w:sz w:val="24"/>
          <w:szCs w:val="24"/>
        </w:rPr>
        <w:t>Ajibola</w:t>
      </w:r>
      <w:proofErr w:type="spellEnd"/>
    </w:p>
    <w:p w:rsidR="000C7EFF" w:rsidRPr="000C7EFF" w:rsidRDefault="000C7EFF" w:rsidP="000C7EFF">
      <w:pPr>
        <w:tabs>
          <w:tab w:val="right" w:pos="9360"/>
        </w:tabs>
        <w:spacing w:line="240" w:lineRule="auto"/>
        <w:jc w:val="both"/>
        <w:rPr>
          <w:rFonts w:ascii="Times New Roman" w:hAnsi="Times New Roman" w:cs="Times New Roman"/>
          <w:bCs/>
          <w:color w:val="000000" w:themeColor="text1"/>
          <w:sz w:val="24"/>
          <w:szCs w:val="24"/>
        </w:rPr>
      </w:pPr>
      <w:r w:rsidRPr="000C7EFF">
        <w:rPr>
          <w:rFonts w:ascii="Times New Roman" w:hAnsi="Times New Roman" w:cs="Times New Roman"/>
          <w:bCs/>
          <w:color w:val="000000" w:themeColor="text1"/>
          <w:sz w:val="24"/>
          <w:szCs w:val="24"/>
        </w:rPr>
        <w:t xml:space="preserve">Personal email id: </w:t>
      </w:r>
      <w:hyperlink r:id="rId4" w:history="1">
        <w:r w:rsidRPr="000C7EFF">
          <w:rPr>
            <w:rStyle w:val="Hyperlink"/>
            <w:rFonts w:ascii="Times New Roman" w:hAnsi="Times New Roman" w:cs="Times New Roman"/>
            <w:bCs/>
            <w:sz w:val="24"/>
            <w:szCs w:val="24"/>
          </w:rPr>
          <w:t>sulsak01@yahoo.com</w:t>
        </w:r>
      </w:hyperlink>
    </w:p>
    <w:p w:rsidR="000C7EFF" w:rsidRPr="000C7EFF" w:rsidRDefault="000C7EFF" w:rsidP="000C7EFF">
      <w:pPr>
        <w:tabs>
          <w:tab w:val="right" w:pos="9360"/>
        </w:tabs>
        <w:spacing w:line="240" w:lineRule="auto"/>
        <w:jc w:val="both"/>
        <w:rPr>
          <w:rFonts w:ascii="Times New Roman" w:hAnsi="Times New Roman" w:cs="Times New Roman"/>
          <w:bCs/>
          <w:color w:val="000000" w:themeColor="text1"/>
          <w:sz w:val="24"/>
          <w:szCs w:val="24"/>
        </w:rPr>
      </w:pPr>
      <w:r w:rsidRPr="000C7EFF">
        <w:rPr>
          <w:rFonts w:ascii="Times New Roman" w:hAnsi="Times New Roman" w:cs="Times New Roman"/>
          <w:bCs/>
          <w:color w:val="000000" w:themeColor="text1"/>
          <w:sz w:val="24"/>
          <w:szCs w:val="24"/>
        </w:rPr>
        <w:t>Mobile Number: +27732233014</w:t>
      </w:r>
    </w:p>
    <w:p w:rsidR="000C7EFF" w:rsidRPr="000C7EFF" w:rsidRDefault="000C7EFF" w:rsidP="000C7EFF">
      <w:pPr>
        <w:tabs>
          <w:tab w:val="right" w:pos="9360"/>
        </w:tabs>
        <w:spacing w:line="240" w:lineRule="auto"/>
        <w:jc w:val="both"/>
        <w:rPr>
          <w:rFonts w:ascii="Times New Roman" w:hAnsi="Times New Roman" w:cs="Times New Roman"/>
          <w:bCs/>
          <w:color w:val="000000" w:themeColor="text1"/>
          <w:sz w:val="24"/>
          <w:szCs w:val="24"/>
        </w:rPr>
      </w:pPr>
      <w:r w:rsidRPr="000C7EFF">
        <w:rPr>
          <w:rFonts w:ascii="Times New Roman" w:hAnsi="Times New Roman" w:cs="Times New Roman"/>
          <w:bCs/>
          <w:color w:val="000000" w:themeColor="text1"/>
          <w:sz w:val="24"/>
          <w:szCs w:val="24"/>
        </w:rPr>
        <w:t>Category: Oral presentation</w:t>
      </w:r>
    </w:p>
    <w:p w:rsidR="009F2A24" w:rsidRPr="001A5CAD" w:rsidRDefault="009F2A24">
      <w:pPr>
        <w:rPr>
          <w:rFonts w:asciiTheme="majorBidi" w:hAnsiTheme="majorBidi" w:cstheme="majorBidi"/>
          <w:sz w:val="24"/>
          <w:szCs w:val="24"/>
        </w:rPr>
      </w:pPr>
    </w:p>
    <w:sectPr w:rsidR="009F2A24" w:rsidRPr="001A5C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CAD"/>
    <w:rsid w:val="000C7EFF"/>
    <w:rsid w:val="001A5CAD"/>
    <w:rsid w:val="007364C3"/>
    <w:rsid w:val="009F2A24"/>
    <w:rsid w:val="00A935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D5A9A"/>
  <w15:chartTrackingRefBased/>
  <w15:docId w15:val="{3127B72D-C471-4164-AC6C-BF59CD66A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5CAD"/>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BibliographyChar">
    <w:name w:val="EndNote Bibliography Char"/>
    <w:basedOn w:val="DefaultParagraphFont"/>
    <w:link w:val="EndNoteBibliography"/>
    <w:locked/>
    <w:rsid w:val="007364C3"/>
    <w:rPr>
      <w:rFonts w:ascii="Calibri" w:hAnsi="Calibri" w:cs="Calibri"/>
      <w:noProof/>
    </w:rPr>
  </w:style>
  <w:style w:type="paragraph" w:customStyle="1" w:styleId="EndNoteBibliography">
    <w:name w:val="EndNote Bibliography"/>
    <w:basedOn w:val="Normal"/>
    <w:link w:val="EndNoteBibliographyChar"/>
    <w:rsid w:val="007364C3"/>
    <w:pPr>
      <w:spacing w:line="240" w:lineRule="auto"/>
    </w:pPr>
    <w:rPr>
      <w:rFonts w:ascii="Calibri" w:hAnsi="Calibri" w:cs="Calibri"/>
      <w:noProof/>
    </w:rPr>
  </w:style>
  <w:style w:type="character" w:styleId="Hyperlink">
    <w:name w:val="Hyperlink"/>
    <w:basedOn w:val="DefaultParagraphFont"/>
    <w:uiPriority w:val="99"/>
    <w:unhideWhenUsed/>
    <w:rsid w:val="000C7EFF"/>
    <w:rPr>
      <w:color w:val="0563C1" w:themeColor="hyperlink"/>
      <w:u w:val="single"/>
    </w:rPr>
  </w:style>
  <w:style w:type="character" w:styleId="UnresolvedMention">
    <w:name w:val="Unresolved Mention"/>
    <w:basedOn w:val="DefaultParagraphFont"/>
    <w:uiPriority w:val="99"/>
    <w:semiHidden/>
    <w:unhideWhenUsed/>
    <w:rsid w:val="000C7EF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7479858">
      <w:bodyDiv w:val="1"/>
      <w:marLeft w:val="0"/>
      <w:marRight w:val="0"/>
      <w:marTop w:val="0"/>
      <w:marBottom w:val="0"/>
      <w:divBdr>
        <w:top w:val="none" w:sz="0" w:space="0" w:color="auto"/>
        <w:left w:val="none" w:sz="0" w:space="0" w:color="auto"/>
        <w:bottom w:val="none" w:sz="0" w:space="0" w:color="auto"/>
        <w:right w:val="none" w:sz="0" w:space="0" w:color="auto"/>
      </w:divBdr>
    </w:div>
    <w:div w:id="1741292449">
      <w:bodyDiv w:val="1"/>
      <w:marLeft w:val="0"/>
      <w:marRight w:val="0"/>
      <w:marTop w:val="0"/>
      <w:marBottom w:val="0"/>
      <w:divBdr>
        <w:top w:val="none" w:sz="0" w:space="0" w:color="auto"/>
        <w:left w:val="none" w:sz="0" w:space="0" w:color="auto"/>
        <w:bottom w:val="none" w:sz="0" w:space="0" w:color="auto"/>
        <w:right w:val="none" w:sz="0" w:space="0" w:color="auto"/>
      </w:divBdr>
    </w:div>
    <w:div w:id="181633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ulsak01@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 Saka (216072584)</dc:creator>
  <cp:keywords/>
  <dc:description/>
  <cp:lastModifiedBy>Sule Saka (216072584)</cp:lastModifiedBy>
  <cp:revision>5</cp:revision>
  <dcterms:created xsi:type="dcterms:W3CDTF">2018-04-08T13:32:00Z</dcterms:created>
  <dcterms:modified xsi:type="dcterms:W3CDTF">2018-04-08T16:12:00Z</dcterms:modified>
</cp:coreProperties>
</file>