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adjustRightInd/>
        <w:autoSpaceDE/>
        <w:autoSpaceDN/>
        <w:bidi w:val="off"/>
        <w:widowControl/>
        <w:jc w:val="both"/>
        <w:spacing w:after="0" w:line="240" w:lineRule="exact"/>
        <w:textAlignment w:val="auto"/>
        <w:rPr>
          <w:rFonts w:hint="eastAsia"/>
          <w:color w:val="C00000"/>
          <w:rtl w:val="off"/>
        </w:rPr>
      </w:pPr>
    </w:p>
    <w:p>
      <w:pPr>
        <w:adjustRightInd/>
        <w:autoSpaceDE/>
        <w:autoSpaceDN/>
        <w:bidi w:val="off"/>
        <w:widowControl/>
        <w:jc w:val="both"/>
        <w:spacing w:after="0" w:line="276" w:lineRule="auto"/>
        <w:textAlignment w:val="auto"/>
        <w:rPr>
          <w:lang w:eastAsia="ja-JP" w:bidi="ar-SA"/>
          <w:rFonts w:ascii="Times New Roman" w:eastAsia="Times New Roman" w:hAnsi="Times New Roman" w:cs="Times New Roman"/>
          <w:b/>
          <w:color w:val="181512"/>
          <w:sz w:val="20"/>
          <w:szCs w:val="20"/>
          <w:snapToGrid/>
          <w:rtl w:val="off"/>
        </w:rPr>
      </w:pPr>
      <w:r>
        <w:rPr>
          <w:color w:val="C00000"/>
        </w:rPr>
        <w:t xml:space="preserve">Title: </w:t>
      </w:r>
      <w:r>
        <w:rPr>
          <w:lang w:val="en-US" w:eastAsia="en-US" w:bidi="ar-SA"/>
          <w:rFonts w:ascii="Minion Pro" w:eastAsia="Minion Pro" w:hAnsi="Minion Pro" w:cs="Minion Pro"/>
          <w:b/>
          <w:bCs/>
          <w:color w:val="337AB7"/>
          <w:sz w:val="36"/>
          <w:szCs w:val="36"/>
        </w:rPr>
        <w:t>Factors associated with ketamine use in pancreatic cancer patient in a single hospice center</w:t>
      </w:r>
    </w:p>
    <w:p>
      <w:pPr>
        <w:pStyle w:val="affa"/>
        <w:ind w:left="100" w:right="5987"/>
        <w:spacing w:before="73" w:line="198" w:lineRule="exact"/>
        <w:rPr>
          <w:rFonts w:ascii="Arial" w:hint="eastAsia"/>
          <w:rtl w:val="off"/>
        </w:rPr>
      </w:pPr>
    </w:p>
    <w:p>
      <w:pPr>
        <w:pStyle w:val="affa"/>
        <w:ind w:left="100" w:right="5987"/>
        <w:spacing w:before="73" w:line="198" w:lineRule="exact"/>
        <w:rPr>
          <w:rFonts w:ascii="Arial" w:hint="eastAsia"/>
          <w:rtl w:val="off"/>
        </w:rPr>
      </w:pPr>
      <w:r>
        <w:rPr>
          <w:rFonts w:ascii="Arial"/>
          <w:rtl w:val="off"/>
        </w:rPr>
        <w:t>Kyung min Kwon</w:t>
      </w:r>
      <w:r>
        <w:rPr>
          <w:rFonts w:ascii="Arial"/>
        </w:rPr>
        <w:t xml:space="preserve">, </w:t>
      </w:r>
      <w:r>
        <w:rPr>
          <w:rFonts w:ascii="Arial"/>
          <w:rtl w:val="off"/>
        </w:rPr>
        <w:t>MD, St.Mary's hospital, Korea</w:t>
      </w:r>
    </w:p>
    <w:p>
      <w:pPr>
        <w:pStyle w:val="affa"/>
        <w:ind w:left="100" w:right="5987"/>
        <w:spacing w:before="73" w:line="198" w:lineRule="exact"/>
        <w:rPr>
          <w:rFonts w:ascii="Arial"/>
        </w:rPr>
      </w:pPr>
    </w:p>
    <w:p>
      <w:pPr>
        <w:pStyle w:val="affa"/>
        <w:rPr>
          <w:rFonts w:ascii="Arial"/>
          <w:sz w:val="20"/>
        </w:rPr>
      </w:pPr>
    </w:p>
    <w:p>
      <w:pPr>
        <w:pStyle w:val="affa"/>
        <w:spacing w:before="3"/>
        <w:rPr>
          <w:rFonts w:ascii="Arial"/>
          <w:sz w:val="21"/>
        </w:rPr>
      </w:pPr>
    </w:p>
    <w:p>
      <w:pPr>
        <w:rPr>
          <w:rFonts w:ascii="Arial"/>
          <w:sz w:val="21"/>
        </w:rPr>
        <w:sectPr>
          <w:type w:val="continuous"/>
          <w:pgSz w:w="11910" w:h="16840"/>
          <w:pgMar w:top="1361" w:right="601" w:bottom="839" w:left="618" w:header="170" w:footer="170" w:gutter="0"/>
          <w:cols w:space="720"/>
          <w:docGrid w:linePitch="299"/>
          <w:headerReference w:type="default" r:id="rId1"/>
          <w:footerReference w:type="default" r:id="rId2"/>
        </w:sectPr>
      </w:pPr>
    </w:p>
    <w:p>
      <w:pPr>
        <w:pStyle w:val="31"/>
        <w:jc w:val="both"/>
        <w:spacing w:before="147"/>
        <w:rPr>
          <w:rFonts w:hint="eastAsia"/>
          <w:color w:val="BF5A14"/>
          <w:rtl w:val="off"/>
        </w:rPr>
      </w:pPr>
      <w:r>
        <w:rPr>
          <w:color w:val="BF5A14"/>
        </w:rPr>
        <w:t>Abstract (300 word limit)</w:t>
      </w:r>
    </w:p>
    <w:p>
      <w:pPr>
        <w:pStyle w:val="31"/>
        <w:jc w:val="both"/>
        <w:spacing w:before="147"/>
      </w:pPr>
    </w:p>
    <w:p>
      <w:pPr>
        <w:adjustRightInd/>
        <w:ind w:right="-1"/>
        <w:autoSpaceDE/>
        <w:autoSpaceDN/>
        <w:bidi w:val="off"/>
        <w:widowControl/>
        <w:jc w:val="both"/>
        <w:spacing w:after="0" w:line="200" w:lineRule="exact"/>
        <w:textAlignment w:val="auto"/>
        <w:rPr>
          <w:lang w:val="en-US" w:eastAsia="en-US" w:bidi="ar-SA"/>
          <w:rFonts w:ascii="Times New Roman" w:eastAsia="Times New Roman" w:hAnsi="Times New Roman" w:cs="Times New Roman"/>
          <w:sz w:val="16"/>
          <w:szCs w:val="16"/>
          <w:snapToGrid/>
          <w:rtl w:val="off"/>
        </w:rPr>
      </w:pPr>
      <w:r>
        <w:rPr>
          <w:lang w:val="en-US" w:eastAsia="en-US" w:bidi="ar-SA"/>
          <w:rFonts w:ascii="Times New Roman" w:eastAsia="Times New Roman" w:hAnsi="Times New Roman" w:cs="Times New Roman"/>
          <w:sz w:val="16"/>
          <w:szCs w:val="16"/>
          <w:snapToGrid/>
          <w:rtl w:val="off"/>
        </w:rPr>
        <w:t xml:space="preserve">Purpose : Up to 90% of pancreatic cancer patient suffer from neuropathic pain. In palliative care setting, pain control in pancreatic cancer patient is one of the major goals. Ketamine is a NMDA receptor antagonist effective in neuropathic pain. Also there have been studies about opioid sparing effect of ketamine. This study was held in palliative care unit among pancreatic cancer patients to find out the factors related to ketamine use and the opioid sparing effect. </w:t>
      </w:r>
    </w:p>
    <w:p>
      <w:pPr>
        <w:adjustRightInd/>
        <w:ind w:right="-1"/>
        <w:autoSpaceDE/>
        <w:autoSpaceDN/>
        <w:bidi w:val="off"/>
        <w:widowControl/>
        <w:jc w:val="both"/>
        <w:spacing w:after="0" w:line="200" w:lineRule="exact"/>
        <w:textAlignment w:val="auto"/>
        <w:rPr>
          <w:lang w:val="en-US" w:eastAsia="en-US" w:bidi="ar-SA"/>
          <w:rFonts w:ascii="Times New Roman" w:eastAsia="Times New Roman" w:hAnsi="Times New Roman" w:cs="Times New Roman"/>
          <w:sz w:val="16"/>
          <w:szCs w:val="16"/>
          <w:snapToGrid/>
          <w:rtl w:val="off"/>
        </w:rPr>
      </w:pPr>
      <w:r>
        <w:rPr>
          <w:lang w:val="en-US" w:eastAsia="en-US" w:bidi="ar-SA"/>
          <w:rFonts w:ascii="Times New Roman" w:eastAsia="Times New Roman" w:hAnsi="Times New Roman" w:cs="Times New Roman"/>
          <w:sz w:val="16"/>
          <w:szCs w:val="16"/>
          <w:snapToGrid/>
          <w:rtl w:val="off"/>
        </w:rPr>
        <w:t>Methods : Medical records of pancreatic cancer patients admitted to St.Mary’s hospital palliative care unit from 2013.1 to 2014.12 were reviewed. Patients were divided in to 2 categories according to ketamine use. Also opioid use before and after ketamine use was compared in ketamine group.</w:t>
      </w:r>
    </w:p>
    <w:p>
      <w:pPr>
        <w:adjustRightInd/>
        <w:ind w:right="-1"/>
        <w:autoSpaceDE/>
        <w:autoSpaceDN/>
        <w:bidi w:val="off"/>
        <w:widowControl/>
        <w:jc w:val="both"/>
        <w:spacing w:after="0" w:line="200" w:lineRule="exact"/>
        <w:textAlignment w:val="auto"/>
        <w:rPr>
          <w:lang w:val="en-US" w:eastAsia="en-US" w:bidi="ar-SA"/>
          <w:rFonts w:ascii="Times New Roman" w:eastAsia="Times New Roman" w:hAnsi="Times New Roman" w:cs="Times New Roman"/>
          <w:sz w:val="16"/>
          <w:szCs w:val="16"/>
          <w:snapToGrid/>
          <w:rtl w:val="off"/>
        </w:rPr>
      </w:pPr>
      <w:r>
        <w:rPr>
          <w:lang w:val="en-US" w:eastAsia="en-US" w:bidi="ar-SA"/>
          <w:rFonts w:ascii="Times New Roman" w:eastAsia="Times New Roman" w:hAnsi="Times New Roman" w:cs="Times New Roman"/>
          <w:sz w:val="16"/>
          <w:szCs w:val="16"/>
          <w:snapToGrid/>
          <w:rtl w:val="off"/>
        </w:rPr>
        <w:t>Results : Compared to non ketamine use group, patients in ketamine group required higher dose of opioid. Total opioid dose, daily opioid dose, number of daily rescue medication, daily average rescue dose were statistically significantly higher in ketamine group. Opioid requirement was increased after ketamine administration.</w:t>
      </w:r>
    </w:p>
    <w:p>
      <w:pPr>
        <w:adjustRightInd/>
        <w:ind w:right="-1"/>
        <w:autoSpaceDE/>
        <w:autoSpaceDN/>
        <w:bidi w:val="off"/>
        <w:widowControl/>
        <w:jc w:val="both"/>
        <w:spacing w:after="0" w:line="200" w:lineRule="exact"/>
        <w:textAlignment w:val="auto"/>
        <w:rPr>
          <w:lang w:eastAsia="fr-CA" w:bidi="ar-SA"/>
          <w:rFonts w:ascii="Times New Roman" w:eastAsia="Times New Roman" w:hAnsi="Times New Roman" w:cs="Times New Roman" w:hint="eastAsia"/>
          <w:iCs/>
          <w:color w:val="262626"/>
          <w:sz w:val="16"/>
          <w:szCs w:val="16"/>
          <w:snapToGrid/>
          <w:rtl w:val="off"/>
        </w:rPr>
      </w:pPr>
      <w:r>
        <w:rPr>
          <w:lang w:val="en-US" w:eastAsia="en-US" w:bidi="ar-SA"/>
          <w:rFonts w:ascii="Times New Roman" w:eastAsia="Times New Roman" w:hAnsi="Times New Roman" w:cs="Times New Roman"/>
          <w:sz w:val="16"/>
          <w:szCs w:val="16"/>
          <w:snapToGrid/>
          <w:rtl w:val="off"/>
        </w:rPr>
        <w:t>Conclusion : In this study, ketamine group required more opioid. Ketamine is frequently considered in patients with severe pain, requiring high amount of opioid. Also ketamine did not have a opioid sparing effect. Future studies about palliative use of ketamine in larger number of patients are required</w:t>
      </w:r>
      <w:r>
        <w:rPr>
          <w:lang w:eastAsia="fr-CA" w:bidi="ar-SA"/>
          <w:rFonts w:ascii="Times New Roman" w:eastAsia="Times New Roman" w:hAnsi="Times New Roman" w:cs="Times New Roman"/>
          <w:iCs/>
          <w:color w:val="262626"/>
          <w:sz w:val="16"/>
          <w:szCs w:val="16"/>
          <w:snapToGrid/>
          <w:rtl w:val="off"/>
        </w:rPr>
        <w:t>.</w:t>
      </w:r>
    </w:p>
    <w:p>
      <w:pPr>
        <w:adjustRightInd/>
        <w:ind w:right="-1"/>
        <w:autoSpaceDE/>
        <w:autoSpaceDN/>
        <w:bidi w:val="off"/>
        <w:widowControl/>
        <w:jc w:val="both"/>
        <w:spacing w:after="0" w:line="200" w:lineRule="exact"/>
        <w:textAlignment w:val="auto"/>
        <w:rPr>
          <w:lang w:val="en-US" w:eastAsia="en-US" w:bidi="ar-SA"/>
          <w:rFonts w:ascii="Times New Roman" w:eastAsia="Times New Roman" w:hAnsi="Times New Roman" w:cs="Times New Roman"/>
          <w:bCs/>
          <w:color w:val="181512"/>
          <w:sz w:val="16"/>
          <w:szCs w:val="16"/>
          <w:snapToGrid/>
          <w:rtl w:val="off"/>
        </w:rPr>
      </w:pPr>
      <w:r>
        <w:rPr>
          <w:lang w:val="en-IN" w:eastAsia="en-IN"/>
          <w:rFonts w:ascii="Calibri"/>
          <w:noProof/>
          <w:sz w:val="4"/>
        </w:rPr>
        <mc:AlternateContent>
          <mc:Choice Requires="wps">
            <w:drawing>
              <wp:inline distT="0" distB="0" distL="0" distR="0">
                <wp:extent cx="3975735" cy="25400"/>
                <wp:effectExtent l="12700" t="12700" r="12700" b="12700"/>
                <wp:docPr id="1025" name="shape1025" hidden="0"/>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 name="child 1"/>
                        <wps:cNvSpPr>
                          <a:spLocks noRot="1"/>
                        </wps:cNvSpPr>
                        <wps:spPr>
                          <a:xfrm>
                            <a:off x="20" y="20"/>
                            <a:ext cx="6221" cy="0"/>
                          </a:xfrm>
                          <a:prstGeom prst="line">
                            <a:avLst/>
                          </a:prstGeom>
                          <a:noFill/>
                          <a:ln w="25400">
                            <a:solidFill>
                              <a:srgbClr val="004080"/>
                            </a:solidFill>
                          </a:ln>
                        </wps:spPr>
                        <wps:bodyPr rot="0" vert="horz" wrap="square" lIns="91440" tIns="45720" rIns="91440" bIns="45720" anchor="t">
                          <a:noAutofit/>
                        </wps:bodyPr>
                      </wps:wsp>
                    </wpg:wgp>
                  </a:graphicData>
                </a:graphic>
              </wp:inline>
            </w:drawing>
          </mc:Choice>
          <mc:Fallback>
            <w:pict>
              <v:group style="margin-left:0pt;margin-top:0pt;width:313.05pt;height:2pt;mso-wrap-style:none;mso-position-horizontal-relative:column;mso-position-vertical-relative:line;z-index:0" coordorigin="0,0" coordsize="6261,40">
                <v:line id="line 2" style="position:absolute;left:20;top:20;width:6221;height:0" from="0.03,0.03" to="9.80,0.00" filled="f" fillcolor="#ffffff" stroked="t" strokecolor="#004080" strokeweight="2pt">
                  <v:stroke joinstyle="round"/>
                </v:line>
              </v:group>
            </w:pict>
          </mc:Fallback>
        </mc:AlternateContent>
      </w:r>
    </w:p>
    <w:p>
      <w:pPr>
        <w:pStyle w:val="31"/>
        <w:spacing w:before="74"/>
      </w:pPr>
      <w:r>
        <w:rPr>
          <w:b w:val="0"/>
        </w:rPr>
        <w:br w:type="column"/>
      </w:r>
      <w:r>
        <w:rPr>
          <w:color w:val="BF5A14"/>
        </w:rPr>
        <w:t>Image</w:t>
      </w:r>
    </w:p>
    <w:p>
      <w:pPr>
        <w:pStyle w:val="affa"/>
        <w:spacing w:before="2"/>
        <w:rPr>
          <w:rFonts w:ascii="Arial"/>
          <w:b/>
          <w:sz w:val="16"/>
        </w:rPr>
      </w:pPr>
    </w:p>
    <w:p>
      <w:pPr>
        <w:spacing w:line="204" w:lineRule="exact"/>
        <w:rPr>
          <w:rFonts w:ascii="Arial"/>
          <w:b/>
          <w:sz w:val="20"/>
        </w:rPr>
      </w:pPr>
      <w:r>
        <w:rPr>
          <w:rFonts w:ascii="Arial"/>
          <w:b/>
          <w:color w:val="BF5A14"/>
          <w:sz w:val="20"/>
        </w:rPr>
        <w:br/>
      </w:r>
      <w:r>
        <w:rPr>
          <w:rFonts w:ascii="Arial"/>
          <w:b/>
          <w:color w:val="BF5A14"/>
          <w:sz w:val="20"/>
        </w:rPr>
        <w:t>Recent Publications:</w:t>
      </w:r>
    </w:p>
    <w:p>
      <w:pPr>
        <w:rPr>
          <w:lang w:val="en-US" w:eastAsia="en-US" w:bidi="ar-SA"/>
          <w:rFonts w:ascii="Calibri" w:eastAsia="Calibri" w:hAnsi="Calibri" w:cs="Calibri" w:hint="eastAsia"/>
          <w:sz w:val="18"/>
          <w:szCs w:val="22"/>
          <w:rtl w:val="off"/>
        </w:rPr>
      </w:pPr>
    </w:p>
    <w:p>
      <w:pPr>
        <w:pStyle w:val="af1"/>
        <w:ind w:leftChars="0" w:left="383" w:right="138" w:hanging="283"/>
        <w:widowControl w:val="off"/>
        <w:jc w:val="both"/>
        <w:numPr>
          <w:ilvl w:val="0"/>
          <w:numId w:val="1"/>
        </w:numPr>
        <w:tabs>
          <w:tab w:val="left" w:pos="383"/>
          <w:tab w:val="left" w:pos="384"/>
        </w:tabs>
        <w:spacing w:before="90" w:line="216" w:lineRule="exact"/>
        <w:rPr>
          <w:lang w:val="en-US" w:eastAsia="en-US" w:bidi="ar-SA"/>
          <w:rFonts w:ascii="Calibri" w:eastAsia="Calibri" w:hAnsi="Calibri" w:cs="Calibri"/>
          <w:sz w:val="18"/>
          <w:szCs w:val="22"/>
        </w:rPr>
      </w:pPr>
      <w:r>
        <w:rPr>
          <w:lang w:val="en-US" w:eastAsia="en-US" w:bidi="ar-SA"/>
          <w:rFonts w:ascii="Calibri" w:eastAsia="Calibri" w:hAnsi="Calibri" w:cs="Calibri"/>
          <w:sz w:val="18"/>
          <w:szCs w:val="22"/>
        </w:rPr>
        <w:t>Inverse association between total bilirubin and metabolic syndrome in rural Korean women. Kwon KM, Kam JH, Kang HT., J Women’s Health (Larchmt). 2011 Jun</w:t>
      </w:r>
    </w:p>
    <w:p>
      <w:pPr>
        <w:pStyle w:val="af1"/>
        <w:ind w:leftChars="0" w:left="383" w:right="138" w:hanging="283"/>
        <w:widowControl w:val="off"/>
        <w:jc w:val="both"/>
        <w:numPr>
          <w:ilvl w:val="0"/>
          <w:numId w:val="1"/>
        </w:numPr>
        <w:tabs>
          <w:tab w:val="left" w:pos="383"/>
          <w:tab w:val="left" w:pos="384"/>
        </w:tabs>
        <w:spacing w:before="90" w:line="216" w:lineRule="exact"/>
        <w:rPr>
          <w:lang w:val="en-US" w:eastAsia="en-US" w:bidi="ar-SA"/>
          <w:rFonts w:ascii="Calibri" w:eastAsia="Calibri" w:hAnsi="Calibri" w:cs="Calibri"/>
          <w:sz w:val="18"/>
          <w:szCs w:val="22"/>
        </w:rPr>
      </w:pPr>
      <w:r>
        <w:rPr>
          <w:lang w:val="en-US" w:eastAsia="en-US" w:bidi="ar-SA"/>
          <w:rFonts w:ascii="Calibri" w:eastAsia="Calibri" w:hAnsi="Calibri" w:cs="Calibri"/>
          <w:sz w:val="18"/>
          <w:szCs w:val="22"/>
        </w:rPr>
        <w:t>Factors Associated with Ketamine Use in Pancreatic Cancer Patient in a Single Hospice Center. Korean J Hosp Palliat Care 2016</w:t>
      </w:r>
    </w:p>
    <w:p>
      <w:pPr>
        <w:pStyle w:val="af1"/>
        <w:ind w:leftChars="0" w:left="383" w:right="138" w:hanging="283"/>
        <w:widowControl w:val="off"/>
        <w:jc w:val="both"/>
        <w:numPr>
          <w:ilvl w:val="0"/>
          <w:numId w:val="1"/>
        </w:numPr>
        <w:tabs>
          <w:tab w:val="left" w:pos="383"/>
          <w:tab w:val="left" w:pos="384"/>
        </w:tabs>
        <w:spacing w:before="90" w:line="216" w:lineRule="exact"/>
        <w:rPr>
          <w:lang w:val="en-US" w:eastAsia="en-US" w:bidi="ar-SA"/>
          <w:rFonts w:ascii="Calibri" w:eastAsia="Calibri" w:hAnsi="Calibri" w:cs="Calibri"/>
          <w:sz w:val="18"/>
          <w:szCs w:val="22"/>
        </w:rPr>
      </w:pPr>
      <w:r>
        <w:rPr>
          <w:lang w:val="en-US" w:eastAsia="en-US" w:bidi="ar-SA"/>
          <w:rFonts w:ascii="Calibri" w:eastAsia="Calibri" w:hAnsi="Calibri" w:cs="Calibri"/>
          <w:sz w:val="18"/>
          <w:szCs w:val="22"/>
        </w:rPr>
        <w:t xml:space="preserve">Evaluation of Laser Dosage and Pulse-duration Regarding the Size of the Skin Discoloration After Using Extended pulse pulsed-dye laser. Kyung Min Kwon, Hyungjun Kim, Unje Park, and Jonghyun Won. No. 1, Vol. 15 of the Journal of the Korea Society for Laser Medicine and Surgery. Dec. 2011   </w:t>
      </w:r>
    </w:p>
    <w:p>
      <w:pPr>
        <w:pStyle w:val="af1"/>
        <w:ind w:leftChars="0" w:left="383" w:right="138" w:hanging="283"/>
        <w:widowControl w:val="off"/>
        <w:jc w:val="both"/>
        <w:numPr>
          <w:ilvl w:val="0"/>
          <w:numId w:val="1"/>
        </w:numPr>
        <w:tabs>
          <w:tab w:val="left" w:pos="383"/>
          <w:tab w:val="left" w:pos="384"/>
        </w:tabs>
        <w:spacing w:before="90" w:line="216" w:lineRule="exact"/>
        <w:rPr>
          <w:lang w:val="en-US" w:eastAsia="en-US" w:bidi="ar-SA"/>
          <w:rFonts w:ascii="Calibri" w:eastAsia="Calibri" w:hAnsi="Calibri" w:cs="Calibri"/>
          <w:sz w:val="18"/>
          <w:szCs w:val="22"/>
        </w:rPr>
      </w:pPr>
      <w:r>
        <w:rPr>
          <w:lang w:val="en-US" w:eastAsia="en-US" w:bidi="ar-SA"/>
          <w:rFonts w:ascii="Calibri" w:eastAsia="Calibri" w:hAnsi="Calibri" w:cs="Calibri"/>
          <w:sz w:val="18"/>
          <w:szCs w:val="22"/>
        </w:rPr>
        <w:t>Efficacy and Safety of Ultra Nattokinase as a Fibrinolytic Agent: A Randomized, Double-Blind, Placebo-Controlled Study</w:t>
      </w:r>
      <w:r>
        <w:rPr>
          <w:lang w:val="en-US" w:eastAsia="en-US" w:bidi="ar-SA"/>
          <w:rFonts w:ascii="Calibri" w:eastAsia="Calibri" w:hAnsi="Calibri" w:cs="Calibri"/>
          <w:sz w:val="18"/>
          <w:szCs w:val="22"/>
          <w:rtl w:val="off"/>
        </w:rPr>
        <w:t>. KJFP 2017</w:t>
      </w:r>
    </w:p>
    <w:p>
      <w:pPr>
        <w:ind w:right="117"/>
        <w:tabs>
          <w:tab w:val="left" w:pos="384"/>
        </w:tabs>
      </w:pPr>
    </w:p>
    <w:p>
      <w:pPr>
        <w:jc w:val="both"/>
        <w:spacing w:line="200" w:lineRule="exact"/>
        <w:rPr>
          <w:rFonts w:ascii="Calibri" w:hAnsi="Calibri"/>
        </w:rPr>
        <w:sectPr>
          <w:type w:val="continuous"/>
          <w:pgSz w:w="11910" w:h="16840"/>
          <w:pgMar w:top="1740" w:right="600" w:bottom="840" w:left="620" w:header="720" w:footer="720" w:gutter="0"/>
          <w:cols w:space="720" w:num="2" w:equalWidth="0">
            <w:col w:w="5214" w:space="138"/>
            <w:col w:w="5338"/>
          </w:cols>
          <w:docGrid w:linePitch="360"/>
        </w:sectPr>
      </w:pPr>
      <w:r>
        <w:rPr>
          <w:rFonts w:ascii="Calibri" w:hAnsi="Calibri"/>
        </w:rPr>
        <w:t xml:space="preserve">   </w:t>
      </w:r>
    </w:p>
    <w:p>
      <w:pPr>
        <w:pStyle w:val="affa"/>
        <w:rPr>
          <w:rFonts w:ascii="Calibri"/>
          <w:sz w:val="20"/>
        </w:rPr>
      </w:pPr>
      <w:r>
        <w:rPr>
          <w:rFonts w:ascii="Calibri"/>
          <w:sz w:val="20"/>
        </w:rPr>
        <w:drawing>
          <wp:inline distT="0" distB="0" distL="180" distR="180">
            <wp:extent cx="1619885" cy="1259231"/>
            <wp:effectExtent l="180326" t="180326" r="180326" b="180326"/>
            <wp:docPr id="1030" name="shape1030"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3">
                      <a:extLst>
                        <a:ext uri="{28A0092B-C50C-407E-A947-70E740481C1C}">
                          <a14:useLocalDpi xmlns:a14="http://schemas.microsoft.com/office/drawing/2010/main" val="0"/>
                        </a:ext>
                      </a:extLst>
                    </a:blip>
                    <a:srcRect/>
                    <a:stretch>
                      <a:fillRect/>
                    </a:stretch>
                  </pic:blipFill>
                  <pic:spPr>
                    <a:xfrm rot="16200000">
                      <a:off x="0" y="0"/>
                      <a:ext cx="1619885" cy="1259231"/>
                    </a:xfrm>
                    <a:prstGeom prst="rect"/>
                  </pic:spPr>
                </pic:pic>
              </a:graphicData>
            </a:graphic>
          </wp:inline>
        </w:drawing>
      </w:r>
    </w:p>
    <w:p>
      <w:pPr>
        <w:pStyle w:val="affa"/>
        <w:ind w:left="2202"/>
        <w:spacing w:line="40" w:lineRule="exact"/>
        <w:rPr>
          <w:rFonts w:ascii="Calibri"/>
          <w:sz w:val="4"/>
        </w:rPr>
      </w:pPr>
    </w:p>
    <w:p>
      <w:pPr>
        <w:ind w:right="4234"/>
        <w:spacing w:before="92"/>
        <w:rPr>
          <w:noProof/>
          <w:sz w:val="20"/>
        </w:rPr>
      </w:pPr>
      <w:r>
        <w:rPr>
          <w:rFonts w:ascii="Arial"/>
          <w:color w:val="BF5A14"/>
          <w:sz w:val="20"/>
        </w:rPr>
        <w:t>Headshot photograph</w:t>
      </w:r>
    </w:p>
    <w:p>
      <w:pPr>
        <w:ind w:right="4234"/>
        <w:spacing w:before="92"/>
        <w:rPr>
          <w:rFonts w:ascii="Arial"/>
        </w:rPr>
      </w:pPr>
      <w:r>
        <w:rPr>
          <w:rFonts w:ascii="Arial"/>
          <w:color w:val="BF5A14"/>
        </w:rPr>
        <w:t>Biography (150 word limit)</w:t>
      </w:r>
    </w:p>
    <w:p>
      <w:pPr>
        <w:ind w:right="-1"/>
        <w:bidi w:val="off"/>
        <w:widowControl w:val="off"/>
        <w:jc w:val="both"/>
        <w:spacing w:after="0" w:line="200" w:lineRule="exact"/>
        <w:textAlignment w:val="auto"/>
        <w:rPr>
          <w:lang w:val="en-US" w:eastAsia="en-US" w:bidi="ar-SA"/>
          <w:rFonts w:ascii="Times New Roman" w:eastAsia="Times New Roman" w:hAnsi="Times New Roman" w:cs="Times New Roman"/>
          <w:bCs/>
          <w:color w:val="181512"/>
          <w:sz w:val="16"/>
          <w:szCs w:val="16"/>
          <w:snapToGrid/>
          <w:rtl w:val="off"/>
        </w:rPr>
      </w:pPr>
      <w:r>
        <w:rPr>
          <w:lang w:val="en-US" w:eastAsia="en-US" w:bidi="ar-SA"/>
          <w:rFonts w:ascii="Times New Roman" w:eastAsia="Times New Roman" w:hAnsi="Times New Roman" w:cs="Times New Roman"/>
          <w:bCs/>
          <w:color w:val="181512"/>
          <w:sz w:val="16"/>
          <w:szCs w:val="16"/>
          <w:snapToGrid/>
          <w:rtl w:val="off"/>
        </w:rPr>
        <w:t xml:space="preserve">Dr. Kyung min Kwon has </w:t>
      </w:r>
      <w:r>
        <w:rPr>
          <w:lang w:eastAsia="ko-KR" w:bidi="ar-SA"/>
          <w:rFonts w:ascii="Times New Roman" w:eastAsia="Times New Roman" w:hAnsi="Times New Roman" w:cs="Times New Roman"/>
          <w:bCs/>
          <w:color w:val="181512"/>
          <w:sz w:val="16"/>
          <w:szCs w:val="16"/>
          <w:snapToGrid/>
          <w:rtl w:val="off"/>
        </w:rPr>
        <w:t>g</w:t>
      </w:r>
      <w:r>
        <w:rPr>
          <w:lang w:val="en-US" w:eastAsia="en-US" w:bidi="ar-SA"/>
          <w:rFonts w:ascii="Times New Roman" w:eastAsia="Times New Roman" w:hAnsi="Times New Roman" w:cs="Times New Roman"/>
          <w:bCs/>
          <w:color w:val="181512"/>
          <w:sz w:val="16"/>
          <w:szCs w:val="16"/>
          <w:snapToGrid/>
          <w:rtl w:val="off"/>
        </w:rPr>
        <w:t>raduated from Yonsei college of medicine of Korea as Medical Doctor, currently</w:t>
      </w:r>
      <w:r>
        <w:rPr>
          <w:lang w:eastAsia="ko-KR" w:bidi="ar-SA"/>
          <w:rFonts w:ascii="Times New Roman" w:eastAsia="Times New Roman" w:hAnsi="Times New Roman" w:cs="Times New Roman"/>
          <w:bCs/>
          <w:color w:val="181512"/>
          <w:sz w:val="16"/>
          <w:szCs w:val="16"/>
          <w:snapToGrid/>
          <w:rtl w:val="off"/>
        </w:rPr>
        <w:t xml:space="preserve"> working as a clinical fellow </w:t>
      </w:r>
      <w:r>
        <w:rPr>
          <w:lang w:val="en-US" w:eastAsia="en-US" w:bidi="ar-SA"/>
          <w:rFonts w:ascii="Times New Roman" w:eastAsia="Times New Roman" w:hAnsi="Times New Roman" w:cs="Times New Roman"/>
          <w:bCs/>
          <w:color w:val="181512"/>
          <w:sz w:val="16"/>
          <w:szCs w:val="16"/>
          <w:snapToGrid/>
          <w:rtl w:val="off"/>
        </w:rPr>
        <w:t xml:space="preserve">in St.Mary’s hospital family medicine department. In pursuit of Doctor of Medicine in Catholic University of Korea, College of Medicine </w:t>
      </w:r>
    </w:p>
    <w:p>
      <w:pPr>
        <w:ind w:left="4217" w:right="4235"/>
        <w:jc w:val="center"/>
        <w:spacing w:before="62"/>
        <w:rPr>
          <w:rFonts w:ascii="Arial" w:hint="eastAsia"/>
          <w:sz w:val="14"/>
          <w:rtl w:val="off"/>
        </w:rPr>
      </w:pPr>
    </w:p>
    <w:p>
      <w:pPr>
        <w:ind w:left="4217" w:right="4235"/>
        <w:jc w:val="center"/>
        <w:spacing w:before="62"/>
        <w:rPr>
          <w:rFonts w:ascii="Arial" w:hint="eastAsia"/>
          <w:sz w:val="14"/>
          <w:rtl w:val="off"/>
        </w:rPr>
      </w:pPr>
    </w:p>
    <w:p>
      <w:pPr>
        <w:ind w:left="4217" w:right="4235"/>
        <w:jc w:val="center"/>
        <w:spacing w:before="62"/>
        <w:rPr>
          <w:rFonts w:ascii="Arial"/>
          <w:sz w:val="14"/>
        </w:rPr>
      </w:pPr>
      <w:r>
        <w:rPr>
          <w:rFonts w:ascii="Arial"/>
          <w:sz w:val="14"/>
        </w:rPr>
        <w:t>Email:</w:t>
      </w:r>
      <w:r>
        <w:rPr>
          <w:rFonts w:ascii="Arial"/>
          <w:sz w:val="14"/>
          <w:rtl w:val="off"/>
        </w:rPr>
        <w:t xml:space="preserve"> kmkwins@naver.com</w:t>
      </w:r>
    </w:p>
    <w:p>
      <w:pPr>
        <w:pStyle w:val="affa"/>
        <w:spacing w:before="2"/>
        <w:rPr>
          <w:rFonts w:ascii="Arial"/>
          <w:sz w:val="19"/>
        </w:rPr>
      </w:pPr>
      <w:r>
        <w:rPr>
          <w:lang w:val="en-IN" w:eastAsia="en-IN"/>
          <w:noProof/>
        </w:rPr>
        <mc:AlternateContent>
          <mc:Choice Requires="wps">
            <w:drawing>
              <wp:anchor distT="0" distB="0" distL="0" distR="0" behindDoc="0" locked="0" layoutInCell="1" simplePos="0" relativeHeight="1072" allowOverlap="1" hidden="0">
                <wp:simplePos x="0" y="0"/>
                <wp:positionH relativeFrom="page">
                  <wp:posOffset>2058670</wp:posOffset>
                </wp:positionH>
                <wp:positionV relativeFrom="paragraph">
                  <wp:posOffset>168275</wp:posOffset>
                </wp:positionV>
                <wp:extent cx="3442335" cy="0"/>
                <wp:effectExtent l="3175" t="3175" r="3175" b="3175"/>
                <wp:wrapTopAndBottom/>
                <wp:docPr id="1029" name="shape1029" hidden="0"/>
                <wp:cNvGraphicFramePr/>
                <a:graphic xmlns:a="http://schemas.openxmlformats.org/drawingml/2006/main">
                  <a:graphicData uri="http://schemas.microsoft.com/office/word/2010/wordprocessingShape">
                    <wps:wsp>
                      <wps:cNvSpPr>
                        <a:spLocks noRot="1"/>
                      </wps:cNvSpPr>
                      <wps:spPr>
                        <a:xfrm>
                          <a:off x="0" y="0"/>
                          <a:ext cx="3442335" cy="0"/>
                        </a:xfrm>
                        <a:prstGeom prst="line">
                          <a:avLst/>
                        </a:prstGeom>
                        <a:noFill/>
                        <a:ln w="6350">
                          <a:solidFill>
                            <a:srgbClr val="004080"/>
                          </a:solidFill>
                        </a:ln>
                      </wps:spPr>
                      <wps:bodyPr rot="0" vert="horz" wrap="square" lIns="91440" tIns="45720" rIns="91440" bIns="45720" anchor="t">
                        <a:noAutofit/>
                      </wps:bodyPr>
                    </wps:wsp>
                  </a:graphicData>
                </a:graphic>
              </wp:anchor>
            </w:drawing>
          </mc:Choice>
          <mc:Fallback>
            <w:pict>
              <v:line id="line 2" style="position:absolute;margin-left:162.1pt;margin-top:13.25pt;width:271.05pt;height:0pt;mso-wrap-style:topAndBottom;mso-position-horizontal-relative:page;mso-position-vertical-relative:line;v-text-anchor:top;z-index:1072" o:allowincell="t" filled="f" fillcolor="#ffffff" stroked="t" strokecolor="#004080" strokeweight="0.5pt">
                <w10:wrap type="topAndBottom"/>
                <v:stroke joinstyle="round"/>
              </v:line>
            </w:pict>
          </mc:Fallback>
        </mc:AlternateContent>
      </w:r>
    </w:p>
    <w:p>
      <w:pPr>
        <w:pStyle w:val="affa"/>
        <w:rPr>
          <w:rFonts w:ascii="Arial"/>
          <w:sz w:val="20"/>
        </w:rPr>
      </w:pPr>
    </w:p>
    <w:p>
      <w:pPr>
        <w:pStyle w:val="affa"/>
        <w:rPr>
          <w:rFonts w:ascii="Arial"/>
          <w:sz w:val="20"/>
        </w:rPr>
      </w:pPr>
    </w:p>
    <w:p>
      <w:pPr>
        <w:pStyle w:val="affa"/>
        <w:spacing w:before="7"/>
        <w:rPr>
          <w:rFonts w:ascii="Arial"/>
          <w:sz w:val="29"/>
        </w:rPr>
      </w:pPr>
    </w:p>
    <w:p>
      <w:pPr>
        <w:ind w:left="100"/>
        <w:spacing w:before="39"/>
        <w:rPr>
          <w:rFonts w:ascii="Minion Pro"/>
          <w:b/>
          <w:sz w:val="20"/>
        </w:rPr>
      </w:pPr>
      <w:r>
        <w:rPr>
          <w:rFonts w:ascii="Minion Pro"/>
          <w:b/>
          <w:sz w:val="20"/>
        </w:rPr>
        <w:t>Notes/Comments:</w:t>
      </w:r>
    </w:p>
    <w:p>
      <w:pPr>
        <w:rPr>
          <w:rFonts w:ascii="Minion Pro"/>
          <w:sz w:val="24"/>
        </w:rPr>
        <w:sectPr>
          <w:type w:val="continuous"/>
          <w:pgSz w:w="11910" w:h="16840"/>
          <w:pgMar w:top="1740" w:right="600" w:bottom="840" w:left="620" w:header="720" w:footer="720" w:gutter="0"/>
          <w:cols w:space="720"/>
          <w:docGrid w:linePitch="360"/>
        </w:sectPr>
      </w:pPr>
    </w:p>
    <w:p>
      <w:pPr>
        <w:pStyle w:val="affa"/>
        <w:spacing w:before="3"/>
        <w:rPr>
          <w:rFonts w:ascii="Minion Pro"/>
          <w:sz w:val="26"/>
        </w:rPr>
      </w:pPr>
    </w:p>
    <w:sectPr>
      <w:type w:val="continuous"/>
      <w:pgSz w:w="11910" w:h="16840"/>
      <w:pgMar w:top="1740" w:right="580" w:bottom="840" w:left="620" w:header="720" w:footer="720" w:gutter="0"/>
      <w:cols w:space="720" w:num="2" w:equalWidth="0">
        <w:col w:w="5214" w:space="138"/>
        <w:col w:w="5358"/>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Times New Roman">
    <w:panose1 w:val="02020603050405020304"/>
    <w:family w:val="roman"/>
    <w:charset w:val="00"/>
    <w:notTrueType w:val="true"/>
    <w:sig w:usb0="E0002EFF" w:usb1="C000785B" w:usb2="00000009" w:usb3="00000001" w:csb0="400001FF" w:csb1="FFFF0000"/>
  </w:font>
  <w:font w:name="Minion Pro">
    <w:panose1 w:val="00000000000000000000"/>
    <w:family w:val="roman"/>
    <w:altName w:val="Cambria Math"/>
    <w:charset w:val="00"/>
    <w:notTrueType w:val="false"/>
    <w:pitch w:val="variable"/>
    <w:sig w:usb0="00000001" w:usb1="00000001" w:usb2="00000000" w:usb3="00000000" w:csb0="0000019F" w:csb1="00000000"/>
  </w:font>
  <w:font w:name="Arial">
    <w:panose1 w:val="020B0604020202020204"/>
    <w:family w:val="swiss"/>
    <w:charset w:val="00"/>
    <w:notTrueType w:val="true"/>
    <w:sig w:usb0="E0002EFF" w:usb1="C0007843" w:usb2="00000009" w:usb3="00000001" w:csb0="400001FF" w:csb1="FFFF0000"/>
  </w:font>
  <w:font w:name="Calibri">
    <w:panose1 w:val="020F0502020204030204"/>
    <w:family w:val="swiss"/>
    <w:charset w:val="00"/>
    <w:notTrueType w:val="true"/>
    <w:sig w:usb0="E0002AFF" w:usb1="C000247B" w:usb2="00000009" w:usb3="00000001" w:csb0="200001FF" w:csb1="00000001"/>
  </w:font>
  <w:font w:name="Impact">
    <w:panose1 w:val="020B0806030902050204"/>
    <w:family w:val="swiss"/>
    <w:charset w:val="00"/>
    <w:notTrueType w:val="true"/>
    <w:sig w:usb0="00000287" w:usb1="00000001" w:usb2="00000001" w:usb3="00000001" w:csb0="2000009F" w:csb1="DFD70000"/>
  </w:font>
  <w:font w:name="Tw Cen MT">
    <w:panose1 w:val="020B0602020104020603"/>
    <w:family w:val="swiss"/>
    <w:charset w:val="00"/>
    <w:notTrueType w:val="true"/>
    <w:sig w:usb0="00000003" w:usb1="00000001" w:usb2="00000001" w:usb3="00000001" w:csb0="20000003" w:csb1="000000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p>
    <w:pPr>
      <w:pStyle w:val="affa"/>
      <w:spacing w:line="14" w:lineRule="auto"/>
      <w:rPr>
        <w:sz w:val="20"/>
      </w:rPr>
    </w:pPr>
    <w:r>
      <w:rPr>
        <w:lang w:val="en-IN" w:eastAsia="en-IN"/>
        <w:noProof/>
      </w:rPr>
      <mc:AlternateContent>
        <mc:Choice Requires="wps">
          <w:drawing>
            <wp:anchor distT="0" distB="0" distL="114300" distR="114300" behindDoc="1" locked="0" layoutInCell="1" simplePos="0" relativeHeight="503311928" allowOverlap="1" hidden="0">
              <wp:simplePos x="0" y="0"/>
              <wp:positionH relativeFrom="page">
                <wp:posOffset>444500</wp:posOffset>
              </wp:positionH>
              <wp:positionV relativeFrom="page">
                <wp:posOffset>10144760</wp:posOffset>
              </wp:positionV>
              <wp:extent cx="2136140" cy="248920"/>
              <wp:effectExtent l="0" t="0" r="0" b="0"/>
              <wp:wrapNone/>
              <wp:docPr id="2050" name="shape2050" hidden="0"/>
              <wp:cNvGraphicFramePr/>
              <a:graphic xmlns:a="http://schemas.openxmlformats.org/drawingml/2006/main">
                <a:graphicData uri="http://schemas.microsoft.com/office/word/2010/wordprocessingShape">
                  <wps:wsp>
                    <wps:cNvSpPr>
                      <a:spLocks/>
                    </wps:cNvSpPr>
                    <wps:spPr>
                      <a:xfrm>
                        <a:off x="0" y="0"/>
                        <a:ext cx="2136140" cy="248920"/>
                      </a:xfrm>
                      <a:prstGeom prst="rect">
                        <a:avLst/>
                      </a:prstGeom>
                      <a:noFill/>
                      <a:ln>
                        <a:noFill/>
                      </a:ln>
                    </wps:spPr>
                    <wps:txbx>
                      <w:txbxContent>
                        <w:p>
                          <w:pPr>
                            <w:ind w:left="20" w:right="-12"/>
                            <w:spacing w:line="184" w:lineRule="exact"/>
                            <w:rPr>
                              <w:rFonts w:ascii="Arial"/>
                              <w:color w:val="FFFFFF"/>
                              <w:sz w:val="16"/>
                            </w:rPr>
                          </w:pPr>
                          <w:r>
                            <w:rPr>
                              <w:rFonts w:ascii="Arial"/>
                              <w:color w:val="FFFFFF"/>
                              <w:sz w:val="16"/>
                            </w:rPr>
                            <w:t>J Pain Relief</w:t>
                          </w:r>
                        </w:p>
                        <w:p>
                          <w:pPr>
                            <w:ind w:left="20" w:right="-12"/>
                            <w:spacing w:before="8"/>
                            <w:rPr>
                              <w:rFonts w:ascii="Arial"/>
                              <w:color w:val="FFFFFF"/>
                              <w:sz w:val="16"/>
                            </w:rPr>
                          </w:pPr>
                          <w:r>
                            <w:rPr>
                              <w:rFonts w:ascii="Arial"/>
                              <w:color w:val="FFFFFF"/>
                              <w:sz w:val="16"/>
                            </w:rPr>
                            <w:t>ISSN: 2167-0846 JPAR an open access journa</w:t>
                          </w:r>
                        </w:p>
                      </w:txbxContent>
                    </wps:txbx>
                    <wps:bodyPr rot="0" vert="horz" wrap="square" lIns="0" tIns="0" rIns="0" bIns="0" anchor="t" upright="1">
                      <a:noAutofit/>
                    </wps:bodyPr>
                  </wps:wsp>
                </a:graphicData>
              </a:graphic>
            </wp:anchor>
          </w:drawing>
        </mc:Choice>
        <mc:Fallback>
          <w:pict>
            <v:rect id="2050" style="position:absolute;margin-left:35pt;margin-top:798.8pt;width:168.2pt;height:19.6pt;mso-wrap-style:behind;mso-position-horizontal-relative:page;mso-position-vertical-relative:page;v-text-anchor:top;z-index:-503311928" o:allowincell="t" filled="f" fillcolor="#ffffff" stroked="f">
              <v:textbox inset="0.0mm,0.0mm,0.0mm,0.0mm">
                <w:txbxContent>
                  <w:p>
                    <w:pPr>
                      <w:ind w:left="20" w:right="-12"/>
                      <w:spacing w:line="184" w:lineRule="exact"/>
                      <w:rPr>
                        <w:rFonts w:ascii="Arial"/>
                        <w:color w:val="FFFFFF"/>
                        <w:sz w:val="16"/>
                      </w:rPr>
                    </w:pPr>
                    <w:r>
                      <w:rPr>
                        <w:rFonts w:ascii="Arial"/>
                        <w:color w:val="FFFFFF"/>
                        <w:sz w:val="16"/>
                      </w:rPr>
                      <w:t>J Pain Relief</w:t>
                    </w:r>
                  </w:p>
                  <w:p>
                    <w:pPr>
                      <w:ind w:left="20" w:right="-12"/>
                      <w:spacing w:before="8"/>
                      <w:rPr>
                        <w:rFonts w:ascii="Arial"/>
                        <w:color w:val="FFFFFF"/>
                        <w:sz w:val="16"/>
                      </w:rPr>
                    </w:pPr>
                    <w:r>
                      <w:rPr>
                        <w:rFonts w:ascii="Arial"/>
                        <w:color w:val="FFFFFF"/>
                        <w:sz w:val="16"/>
                      </w:rPr>
                      <w:t>ISSN: 2167-0846 JPAR an open access journa</w:t>
                    </w:r>
                  </w:p>
                </w:txbxContent>
              </v:textbox>
              <v:stroke joinstyle="round"/>
            </v:rect>
          </w:pict>
        </mc:Fallback>
      </mc:AlternateContent>
    </w:r>
    <w:r>
      <w:rPr>
        <w:lang w:val="en-IN" w:eastAsia="en-IN"/>
        <w:noProof/>
      </w:rPr>
      <mc:AlternateContent>
        <mc:Choice Requires="wps">
          <w:drawing>
            <wp:anchor distT="0" distB="0" distL="114300" distR="114300" behindDoc="1" locked="0" layoutInCell="1" simplePos="0" relativeHeight="503311952" allowOverlap="1" hidden="0">
              <wp:simplePos x="0" y="0"/>
              <wp:positionH relativeFrom="page">
                <wp:posOffset>3201670</wp:posOffset>
              </wp:positionH>
              <wp:positionV relativeFrom="page">
                <wp:posOffset>10147935</wp:posOffset>
              </wp:positionV>
              <wp:extent cx="1167130" cy="316865"/>
              <wp:effectExtent l="0" t="0" r="0" b="0"/>
              <wp:wrapNone/>
              <wp:docPr id="2051" name="shape2051" hidden="0"/>
              <wp:cNvGraphicFramePr/>
              <a:graphic xmlns:a="http://schemas.openxmlformats.org/drawingml/2006/main">
                <a:graphicData uri="http://schemas.microsoft.com/office/word/2010/wordprocessingShape">
                  <wps:wsp>
                    <wps:cNvSpPr>
                      <a:spLocks/>
                    </wps:cNvSpPr>
                    <wps:spPr>
                      <a:xfrm>
                        <a:off x="0" y="0"/>
                        <a:ext cx="1167130" cy="316865"/>
                      </a:xfrm>
                      <a:prstGeom prst="rect">
                        <a:avLst/>
                      </a:prstGeom>
                      <a:noFill/>
                      <a:ln>
                        <a:noFill/>
                      </a:ln>
                    </wps:spPr>
                    <wps:txbx>
                      <w:txbxContent>
                        <w:p>
                          <w:pPr>
                            <w:jc w:val="center"/>
                            <w:spacing w:line="269" w:lineRule="exact"/>
                            <w:rPr>
                              <w:rFonts w:ascii="Impact"/>
                              <w:color w:val="FFFFFF"/>
                              <w:sz w:val="24"/>
                            </w:rPr>
                          </w:pPr>
                          <w:r>
                            <w:rPr>
                              <w:rFonts w:ascii="Impact"/>
                              <w:color w:val="FFFFFF"/>
                              <w:sz w:val="24"/>
                            </w:rPr>
                            <w:t>Fibromyalgia 2016</w:t>
                          </w:r>
                        </w:p>
                        <w:p>
                          <w:pPr>
                            <w:jc w:val="center"/>
                            <w:spacing w:before="29"/>
                            <w:rPr>
                              <w:rFonts w:ascii="Arial"/>
                              <w:color w:val="FFFFFF"/>
                              <w:sz w:val="16"/>
                            </w:rPr>
                          </w:pPr>
                          <w:r>
                            <w:rPr>
                              <w:rFonts w:ascii="Arial"/>
                              <w:color w:val="FFFFFF"/>
                              <w:sz w:val="16"/>
                            </w:rPr>
                            <w:t>June 15-16, 2016</w:t>
                          </w:r>
                        </w:p>
                      </w:txbxContent>
                    </wps:txbx>
                    <wps:bodyPr rot="0" vert="horz" wrap="square" lIns="0" tIns="0" rIns="0" bIns="0" anchor="t" upright="1">
                      <a:noAutofit/>
                    </wps:bodyPr>
                  </wps:wsp>
                </a:graphicData>
              </a:graphic>
            </wp:anchor>
          </w:drawing>
        </mc:Choice>
        <mc:Fallback>
          <w:pict>
            <v:rect id="2051" style="position:absolute;margin-left:252.1pt;margin-top:799.05pt;width:91.9pt;height:24.95pt;mso-wrap-style:behind;mso-position-horizontal-relative:page;mso-position-vertical-relative:page;v-text-anchor:top;z-index:-503311952" o:allowincell="t" filled="f" fillcolor="#ffffff" stroked="f">
              <v:textbox inset="0.0mm,0.0mm,0.0mm,0.0mm">
                <w:txbxContent>
                  <w:p>
                    <w:pPr>
                      <w:jc w:val="center"/>
                      <w:spacing w:line="269" w:lineRule="exact"/>
                      <w:rPr>
                        <w:rFonts w:ascii="Impact"/>
                        <w:color w:val="FFFFFF"/>
                        <w:sz w:val="24"/>
                      </w:rPr>
                    </w:pPr>
                    <w:r>
                      <w:rPr>
                        <w:rFonts w:ascii="Impact"/>
                        <w:color w:val="FFFFFF"/>
                        <w:sz w:val="24"/>
                      </w:rPr>
                      <w:t>Fibromyalgia 2016</w:t>
                    </w:r>
                  </w:p>
                  <w:p>
                    <w:pPr>
                      <w:jc w:val="center"/>
                      <w:spacing w:before="29"/>
                      <w:rPr>
                        <w:rFonts w:ascii="Arial"/>
                        <w:color w:val="FFFFFF"/>
                        <w:sz w:val="16"/>
                      </w:rPr>
                    </w:pPr>
                    <w:r>
                      <w:rPr>
                        <w:rFonts w:ascii="Arial"/>
                        <w:color w:val="FFFFFF"/>
                        <w:sz w:val="16"/>
                      </w:rPr>
                      <w:t>June 15-16, 2016</w:t>
                    </w:r>
                  </w:p>
                </w:txbxContent>
              </v:textbox>
              <v:stroke joinstyle="round"/>
            </v:rect>
          </w:pict>
        </mc:Fallback>
      </mc:AlternateContent>
    </w:r>
    <w:r>
      <w:rPr>
        <w:lang w:val="en-IN" w:eastAsia="en-IN"/>
        <w:noProof/>
      </w:rPr>
      <mc:AlternateContent>
        <mc:Choice Requires="wps">
          <w:drawing>
            <wp:anchor distT="0" distB="0" distL="114300" distR="114300" behindDoc="1" locked="0" layoutInCell="1" simplePos="0" relativeHeight="503311976" allowOverlap="1" hidden="0">
              <wp:simplePos x="0" y="0"/>
              <wp:positionH relativeFrom="page">
                <wp:posOffset>5955030</wp:posOffset>
              </wp:positionH>
              <wp:positionV relativeFrom="page">
                <wp:posOffset>10144760</wp:posOffset>
              </wp:positionV>
              <wp:extent cx="1160780" cy="330835"/>
              <wp:effectExtent l="0" t="0" r="0" b="0"/>
              <wp:wrapNone/>
              <wp:docPr id="2052" name="shape2052" hidden="0"/>
              <wp:cNvGraphicFramePr/>
              <a:graphic xmlns:a="http://schemas.openxmlformats.org/drawingml/2006/main">
                <a:graphicData uri="http://schemas.microsoft.com/office/word/2010/wordprocessingShape">
                  <wps:wsp>
                    <wps:cNvSpPr>
                      <a:spLocks/>
                    </wps:cNvSpPr>
                    <wps:spPr>
                      <a:xfrm>
                        <a:off x="0" y="0"/>
                        <a:ext cx="1160780" cy="330835"/>
                      </a:xfrm>
                      <a:prstGeom prst="rect">
                        <a:avLst/>
                      </a:prstGeom>
                      <a:noFill/>
                      <a:ln>
                        <a:noFill/>
                      </a:ln>
                    </wps:spPr>
                    <wps:txbx>
                      <w:txbxContent>
                        <w:p>
                          <w:pPr>
                            <w:ind w:right="18"/>
                            <w:jc w:val="right"/>
                            <w:spacing w:line="184" w:lineRule="exact"/>
                            <w:rPr>
                              <w:rFonts w:ascii="Arial"/>
                              <w:color w:val="FFFFFF"/>
                              <w:sz w:val="16"/>
                            </w:rPr>
                          </w:pPr>
                          <w:r>
                            <w:rPr>
                              <w:rFonts w:ascii="Arial"/>
                              <w:color w:val="FFFFFF"/>
                              <w:sz w:val="16"/>
                            </w:rPr>
                            <w:t>Volume 5, Issue 3(Suppl)</w:t>
                          </w:r>
                        </w:p>
                        <w:p>
                          <w:pPr>
                            <w:ind w:right="18"/>
                            <w:jc w:val="right"/>
                            <w:spacing w:before="116"/>
                            <w:rPr>
                              <w:rFonts w:ascii="Minion Pro"/>
                              <w:color w:val="FFFFFF"/>
                              <w:sz w:val="16"/>
                            </w:rPr>
                          </w:pPr>
                          <w:r>
                            <w:rPr>
                              <w:rFonts w:ascii="Minion Pro"/>
                              <w:color w:val="FFFFFF"/>
                              <w:sz w:val="16"/>
                            </w:rPr>
                            <w:t>Page 40</w:t>
                          </w:r>
                        </w:p>
                      </w:txbxContent>
                    </wps:txbx>
                    <wps:bodyPr rot="0" vert="horz" wrap="square" lIns="0" tIns="0" rIns="0" bIns="0" anchor="t" upright="1">
                      <a:noAutofit/>
                    </wps:bodyPr>
                  </wps:wsp>
                </a:graphicData>
              </a:graphic>
            </wp:anchor>
          </w:drawing>
        </mc:Choice>
        <mc:Fallback>
          <w:pict>
            <v:rect id="2052" style="position:absolute;margin-left:468.9pt;margin-top:798.8pt;width:91.4pt;height:26.05pt;mso-wrap-style:behind;mso-position-horizontal-relative:page;mso-position-vertical-relative:page;v-text-anchor:top;z-index:-503311976" o:allowincell="t" filled="f" fillcolor="#ffffff" stroked="f">
              <v:textbox inset="0.0mm,0.0mm,0.0mm,0.0mm">
                <w:txbxContent>
                  <w:p>
                    <w:pPr>
                      <w:ind w:right="18"/>
                      <w:jc w:val="right"/>
                      <w:spacing w:line="184" w:lineRule="exact"/>
                      <w:rPr>
                        <w:rFonts w:ascii="Arial"/>
                        <w:color w:val="FFFFFF"/>
                        <w:sz w:val="16"/>
                      </w:rPr>
                    </w:pPr>
                    <w:r>
                      <w:rPr>
                        <w:rFonts w:ascii="Arial"/>
                        <w:color w:val="FFFFFF"/>
                        <w:sz w:val="16"/>
                      </w:rPr>
                      <w:t>Volume 5, Issue 3(Suppl)</w:t>
                    </w:r>
                  </w:p>
                  <w:p>
                    <w:pPr>
                      <w:ind w:right="18"/>
                      <w:jc w:val="right"/>
                      <w:spacing w:before="116"/>
                      <w:rPr>
                        <w:rFonts w:ascii="Minion Pro"/>
                        <w:color w:val="FFFFFF"/>
                        <w:sz w:val="16"/>
                      </w:rPr>
                    </w:pPr>
                    <w:r>
                      <w:rPr>
                        <w:rFonts w:ascii="Minion Pro"/>
                        <w:color w:val="FFFFFF"/>
                        <w:sz w:val="16"/>
                      </w:rPr>
                      <w:t>Page 40</w:t>
                    </w:r>
                  </w:p>
                </w:txbxContent>
              </v:textbox>
              <v:stroke joinstyle="round"/>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p>
    <w:pPr>
      <w:pStyle w:val="affa"/>
      <w:spacing w:line="14" w:lineRule="auto"/>
      <w:rPr>
        <w:sz w:val="20"/>
      </w:rPr>
    </w:pPr>
    <w:r>
      <w:rPr>
        <w:lang w:val="en-IN" w:eastAsia="en-IN"/>
        <w:noProof/>
        <w:sz w:val="20"/>
      </w:rPr>
      <w:drawing>
        <wp:inline distT="0" distB="0" distL="0" distR="0">
          <wp:extent cx="6831220" cy="1184177"/>
          <wp:effectExtent l="0" t="0" r="0" b="0"/>
          <wp:docPr id="2049" name="shape2049"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
                    <a:extLst>
                      <a:ext uri="{28A0092B-C50C-407E-A947-70E740481C1C}">
                        <a14:useLocalDpi xmlns:a14="http://schemas.microsoft.com/office/drawing/2010/main" val="0"/>
                      </a:ext>
                    </a:extLst>
                  </a:blip>
                  <a:srcRect/>
                  <a:stretch>
                    <a:fillRect/>
                  </a:stretch>
                </pic:blipFill>
                <pic:spPr>
                  <a:xfrm>
                    <a:off x="0" y="0"/>
                    <a:ext cx="6831220" cy="1184177"/>
                  </a:xfrm>
                  <a:prstGeom prst="rect"/>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31c80552"/>
    <w:multiLevelType w:val="hybridMultilevel"/>
    <w:lvl w:ilvl="0" w:tplc="6f36d066">
      <w:start w:val="1"/>
      <w:lvlText w:val="%1)"/>
      <w:lvlJc w:val="left"/>
      <w:pPr>
        <w:ind w:left="800" w:hanging="400"/>
      </w:pPr>
      <w:rPr/>
    </w:lvl>
    <w:lvl w:ilvl="1" w:tplc="c60e89d2">
      <w:start w:val="1"/>
      <w:numFmt w:val="bullet"/>
      <w:lvlText w:val="•"/>
      <w:lvlJc w:val="left"/>
      <w:pPr>
        <w:ind w:left="877" w:hanging="284"/>
      </w:pPr>
      <w:rPr/>
    </w:lvl>
    <w:lvl w:ilvl="2" w:tplc="9e4c3810">
      <w:start w:val="1"/>
      <w:numFmt w:val="bullet"/>
      <w:lvlText w:val="•"/>
      <w:lvlJc w:val="left"/>
      <w:pPr>
        <w:ind w:left="1374" w:hanging="284"/>
      </w:pPr>
      <w:rPr/>
    </w:lvl>
    <w:lvl w:ilvl="3" w:tplc="27febb2c">
      <w:start w:val="1"/>
      <w:numFmt w:val="bullet"/>
      <w:lvlText w:val="•"/>
      <w:lvlJc w:val="left"/>
      <w:pPr>
        <w:ind w:left="1871" w:hanging="284"/>
      </w:pPr>
      <w:rPr/>
    </w:lvl>
    <w:lvl w:ilvl="4" w:tplc="40e042a8">
      <w:start w:val="1"/>
      <w:numFmt w:val="bullet"/>
      <w:lvlText w:val="•"/>
      <w:lvlJc w:val="left"/>
      <w:pPr>
        <w:ind w:left="2369" w:hanging="284"/>
      </w:pPr>
      <w:rPr/>
    </w:lvl>
    <w:lvl w:ilvl="5" w:tplc="80ec61f2">
      <w:start w:val="1"/>
      <w:numFmt w:val="bullet"/>
      <w:lvlText w:val="•"/>
      <w:lvlJc w:val="left"/>
      <w:pPr>
        <w:ind w:left="2866" w:hanging="284"/>
      </w:pPr>
      <w:rPr/>
    </w:lvl>
    <w:lvl w:ilvl="6" w:tplc="f60232e2">
      <w:start w:val="1"/>
      <w:numFmt w:val="bullet"/>
      <w:lvlText w:val="•"/>
      <w:lvlJc w:val="left"/>
      <w:pPr>
        <w:ind w:left="3363" w:hanging="284"/>
      </w:pPr>
      <w:rPr/>
    </w:lvl>
    <w:lvl w:ilvl="7" w:tplc="69ae9ec2">
      <w:start w:val="1"/>
      <w:numFmt w:val="bullet"/>
      <w:lvlText w:val="•"/>
      <w:lvlJc w:val="left"/>
      <w:pPr>
        <w:ind w:left="3860" w:hanging="284"/>
      </w:pPr>
      <w:rPr/>
    </w:lvl>
    <w:lvl w:ilvl="8" w:tplc="16d69236">
      <w:start w:val="1"/>
      <w:numFmt w:val="bullet"/>
      <w:lvlText w:val="•"/>
      <w:lvlJc w:val="left"/>
      <w:pPr>
        <w:ind w:left="4358" w:hanging="284"/>
      </w:pPr>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30"/>
  <w:removePersonalInformation/>
  <w:bordersDontSurroundHeader/>
  <w:bordersDontSurroundFooter/>
  <w:hideGrammaticalErrors/>
  <w:proofState w:spelling="clean" w:grammar="clean"/>
  <w:defaultTabStop w:val="720"/>
  <w:drawingGridHorizontalSpacing w:val="1000"/>
  <w:drawingGridVerticalSpacing w:val="1000"/>
  <w:displayHorizontalDrawingGridEvery w:val="1"/>
  <w:displayVerticalDrawingGridEvery w:val="1"/>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1"/>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HAnsi" w:hAnsiTheme="minorHAnsi" w:cstheme="minorBidi"/>
        <w:sz w:val="22"/>
        <w:szCs w:val="22"/>
      </w:rPr>
    </w:rPrDefault>
    <w:pPrDefault>
      <w:pPr>
        <w:widowControl w:val="off"/>
      </w:pPr>
    </w:pPrDefault>
  </w:docDefaults>
  <w:style w:type="paragraph" w:default="1" w:styleId="a1">
    <w:name w:val="Normal"/>
    <w:qFormat/>
    <w:rPr>
      <w:rFonts w:ascii="Tw Cen MT" w:eastAsia="Tw Cen MT" w:hAnsi="Tw Cen MT" w:cs="Tw Cen MT"/>
    </w:rPr>
  </w:style>
  <w:style w:type="character" w:default="1" w:styleId="a2">
    <w:name w:val="Default Paragraph Font"/>
    <w:semiHidden/>
    <w:unhideWhenUsed/>
  </w:style>
  <w:style w:type="table" w:default="1" w:styleId="a3">
    <w:name w:val="Normal Table"/>
    <w:semiHidden/>
    <w:unhideWhenUsed/>
    <w:tblPr>
      <w:tblInd w:w="0" w:type="dxa"/>
      <w:tblCellMar>
        <w:top w:w="0" w:type="dxa"/>
        <w:left w:w="108" w:type="dxa"/>
        <w:bottom w:w="0" w:type="dxa"/>
        <w:right w:w="108" w:type="dxa"/>
      </w:tblCellMar>
    </w:tblPr>
  </w:style>
  <w:style w:type="numbering" w:default="1" w:styleId="a4">
    <w:name w:val="No List"/>
    <w:semiHidden/>
    <w:unhideWhenUsed/>
  </w:style>
  <w:style w:type="character" w:customStyle="1" w:styleId="BodyTextChar">
    <w:name w:val="Body Text Char"/>
    <w:basedOn w:val="a2"/>
    <w:link w:val="Body Text"/>
    <w:rPr>
      <w:rFonts w:ascii="Tw Cen MT" w:eastAsia="Tw Cen MT" w:hAnsi="Tw Cen MT" w:cs="Tw Cen MT"/>
      <w:sz w:val="18"/>
      <w:szCs w:val="18"/>
    </w:rPr>
  </w:style>
  <w:style w:type="paragraph" w:styleId="31">
    <w:name w:val="heading 3"/>
    <w:basedOn w:val="a1"/>
    <w:qFormat/>
    <w:pPr>
      <w:ind w:left="100"/>
      <w:outlineLvl w:val="2"/>
    </w:pPr>
    <w:rPr>
      <w:rFonts w:ascii="Arial" w:eastAsia="Arial" w:hAnsi="Arial" w:cs="Arial"/>
      <w:b/>
      <w:bCs/>
      <w:sz w:val="20"/>
      <w:szCs w:val="20"/>
    </w:rPr>
  </w:style>
  <w:style w:type="paragraph" w:styleId="af1">
    <w:name w:val="List Paragraph"/>
    <w:basedOn w:val="a1"/>
    <w:qFormat/>
    <w:pPr>
      <w:ind w:left="383" w:hanging="283"/>
      <w:jc w:val="both"/>
      <w:spacing w:before="90" w:line="200" w:lineRule="exact"/>
    </w:pPr>
    <w:rPr>
      <w:rFonts w:ascii="Calibri" w:eastAsia="Calibri" w:hAnsi="Calibri" w:cs="Calibri"/>
    </w:rPr>
  </w:style>
  <w:style w:type="paragraph" w:styleId="affa">
    <w:name w:val="Body Text"/>
    <w:basedOn w:val="a1"/>
    <w:link w:val="Body Text Char"/>
    <w:qFormat/>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footer" Target="footer1.xml" /><Relationship Id="rId3" Type="http://schemas.openxmlformats.org/officeDocument/2006/relationships/image" Target="media/image1.jpeg" /><Relationship Id="rId4" Type="http://schemas.openxmlformats.org/officeDocument/2006/relationships/styles" Target="styles.xml" /><Relationship Id="rId5" Type="http://schemas.openxmlformats.org/officeDocument/2006/relationships/settings" Target="settings.xml" /><Relationship Id="rId6" Type="http://schemas.openxmlformats.org/officeDocument/2006/relationships/fontTable" Target="fontTable.xml" /><Relationship Id="rId7" Type="http://schemas.openxmlformats.org/officeDocument/2006/relationships/webSettings" Target="webSettings.xml" /><Relationship Id="rId8" Type="http://schemas.openxmlformats.org/officeDocument/2006/relationships/numbering" Target="numbering.xml" /><Relationship Id="rId9" Type="http://schemas.openxmlformats.org/officeDocument/2006/relationships/theme" Target="theme/theme1.xml"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Company>Microsoft</Company>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user</cp:lastModifiedBy>
  <cp:revision>1</cp:revision>
  <dcterms:created xsi:type="dcterms:W3CDTF">2016-09-06T10:23:00Z</dcterms:created>
  <dcterms:modified xsi:type="dcterms:W3CDTF">2018-02-19T00:38:35Z</dcterms:modified>
  <cp:version>0900.0000.01</cp:version>
</cp:coreProperties>
</file>