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253" w:rsidRDefault="004D0851" w:rsidP="00514253">
      <w:pPr>
        <w:pStyle w:val="Heading1"/>
        <w:spacing w:before="170"/>
        <w:ind w:left="0"/>
        <w:rPr>
          <w:color w:val="337AB7"/>
        </w:rPr>
      </w:pPr>
      <w:r w:rsidRPr="004D0851">
        <w:rPr>
          <w:color w:val="C00000"/>
        </w:rPr>
        <w:t xml:space="preserve">Title: </w:t>
      </w:r>
      <w:r w:rsidR="00514253" w:rsidRPr="00514253">
        <w:rPr>
          <w:color w:val="337AB7"/>
        </w:rPr>
        <w:t xml:space="preserve">Online and offline effects of cerebellar </w:t>
      </w:r>
      <w:proofErr w:type="spellStart"/>
      <w:r w:rsidR="00514253" w:rsidRPr="00514253">
        <w:rPr>
          <w:color w:val="337AB7"/>
        </w:rPr>
        <w:t>transcranial</w:t>
      </w:r>
      <w:proofErr w:type="spellEnd"/>
      <w:r w:rsidR="00514253" w:rsidRPr="00514253">
        <w:rPr>
          <w:color w:val="337AB7"/>
        </w:rPr>
        <w:t xml:space="preserve"> direct current stimulation on motor learning in healthy older adults: A randomized double-blind sham-controlled study</w:t>
      </w:r>
    </w:p>
    <w:p w:rsidR="00AE3E37" w:rsidRDefault="00514253" w:rsidP="00514253">
      <w:pPr>
        <w:pStyle w:val="BodyText"/>
        <w:rPr>
          <w:rFonts w:ascii="Arial"/>
          <w:sz w:val="21"/>
        </w:rPr>
      </w:pPr>
      <w:proofErr w:type="spellStart"/>
      <w:r>
        <w:rPr>
          <w:rFonts w:ascii="Arial" w:eastAsia="Minion Pro" w:hAnsi="Minion Pro" w:cs="Minion Pro"/>
          <w:b/>
          <w:bCs/>
          <w:sz w:val="36"/>
          <w:szCs w:val="36"/>
        </w:rPr>
        <w:t>Fatemeh</w:t>
      </w:r>
      <w:proofErr w:type="spellEnd"/>
      <w:r>
        <w:rPr>
          <w:rFonts w:ascii="Arial" w:eastAsia="Minion Pro" w:hAnsi="Minion Pro" w:cs="Minion Pro"/>
          <w:b/>
          <w:bCs/>
          <w:sz w:val="36"/>
          <w:szCs w:val="36"/>
        </w:rPr>
        <w:t xml:space="preserve"> </w:t>
      </w:r>
      <w:proofErr w:type="spellStart"/>
      <w:r>
        <w:rPr>
          <w:rFonts w:ascii="Arial" w:eastAsia="Minion Pro" w:hAnsi="Minion Pro" w:cs="Minion Pro"/>
          <w:b/>
          <w:bCs/>
          <w:sz w:val="36"/>
          <w:szCs w:val="36"/>
        </w:rPr>
        <w:t>Ehsani</w:t>
      </w:r>
      <w:proofErr w:type="spellEnd"/>
      <w:r>
        <w:rPr>
          <w:rFonts w:ascii="Arial" w:eastAsia="Minion Pro" w:hAnsi="Minion Pro" w:cs="Minion Pro"/>
          <w:b/>
          <w:bCs/>
          <w:sz w:val="36"/>
          <w:szCs w:val="36"/>
        </w:rPr>
        <w:t>, PT, PhD</w:t>
      </w:r>
      <w:r>
        <w:rPr>
          <w:rFonts w:ascii="Arial" w:eastAsia="Minion Pro" w:hAnsi="Minion Pro" w:cs="Minion Pro"/>
          <w:b/>
          <w:bCs/>
          <w:sz w:val="36"/>
          <w:szCs w:val="36"/>
        </w:rPr>
        <w:t>,</w:t>
      </w:r>
      <w:r w:rsidRPr="00514253">
        <w:rPr>
          <w:rFonts w:ascii="Arial" w:eastAsia="Minion Pro" w:hAnsi="Minion Pro" w:cs="Minion Pro"/>
          <w:b/>
          <w:bCs/>
          <w:sz w:val="36"/>
          <w:szCs w:val="36"/>
        </w:rPr>
        <w:t xml:space="preserve"> </w:t>
      </w:r>
      <w:proofErr w:type="spellStart"/>
      <w:r w:rsidRPr="00514253">
        <w:rPr>
          <w:rFonts w:ascii="Arial" w:eastAsia="Minion Pro" w:hAnsi="Minion Pro" w:cs="Minion Pro"/>
          <w:b/>
          <w:bCs/>
          <w:sz w:val="36"/>
          <w:szCs w:val="36"/>
        </w:rPr>
        <w:t>Afs</w:t>
      </w:r>
      <w:r>
        <w:rPr>
          <w:rFonts w:ascii="Arial" w:eastAsia="Minion Pro" w:hAnsi="Minion Pro" w:cs="Minion Pro"/>
          <w:b/>
          <w:bCs/>
          <w:sz w:val="36"/>
          <w:szCs w:val="36"/>
        </w:rPr>
        <w:t>hin</w:t>
      </w:r>
      <w:proofErr w:type="spellEnd"/>
      <w:r>
        <w:rPr>
          <w:rFonts w:ascii="Arial" w:eastAsia="Minion Pro" w:hAnsi="Minion Pro" w:cs="Minion Pro"/>
          <w:b/>
          <w:bCs/>
          <w:sz w:val="36"/>
          <w:szCs w:val="36"/>
        </w:rPr>
        <w:t xml:space="preserve"> </w:t>
      </w:r>
      <w:proofErr w:type="spellStart"/>
      <w:r>
        <w:rPr>
          <w:rFonts w:ascii="Arial" w:eastAsia="Minion Pro" w:hAnsi="Minion Pro" w:cs="Minion Pro"/>
          <w:b/>
          <w:bCs/>
          <w:sz w:val="36"/>
          <w:szCs w:val="36"/>
        </w:rPr>
        <w:t>Samaei</w:t>
      </w:r>
      <w:proofErr w:type="spellEnd"/>
      <w:r>
        <w:rPr>
          <w:rFonts w:ascii="Arial" w:eastAsia="Minion Pro" w:hAnsi="Minion Pro" w:cs="Minion Pro"/>
          <w:b/>
          <w:bCs/>
          <w:sz w:val="36"/>
          <w:szCs w:val="36"/>
        </w:rPr>
        <w:t xml:space="preserve">, Neurologist </w:t>
      </w:r>
    </w:p>
    <w:p w:rsidR="00AE3E37" w:rsidRDefault="00AE3E37">
      <w:pPr>
        <w:rPr>
          <w:rFonts w:ascii="Arial"/>
          <w:sz w:val="21"/>
        </w:rPr>
        <w:sectPr w:rsidR="00AE3E37" w:rsidSect="0043389A">
          <w:headerReference w:type="default" r:id="rId7"/>
          <w:footerReference w:type="default" r:id="rId8"/>
          <w:type w:val="continuous"/>
          <w:pgSz w:w="11910" w:h="16840"/>
          <w:pgMar w:top="1361" w:right="601" w:bottom="839" w:left="618" w:header="170" w:footer="170" w:gutter="0"/>
          <w:cols w:space="720"/>
          <w:docGrid w:linePitch="299"/>
        </w:sectPr>
      </w:pPr>
    </w:p>
    <w:p w:rsidR="00AE3E37" w:rsidRDefault="00A9710C" w:rsidP="00EE78AF">
      <w:pPr>
        <w:pStyle w:val="Heading3"/>
        <w:spacing w:before="147"/>
        <w:jc w:val="both"/>
      </w:pPr>
      <w:r>
        <w:rPr>
          <w:color w:val="BF5A14"/>
        </w:rPr>
        <w:lastRenderedPageBreak/>
        <w:t>Abstract</w:t>
      </w:r>
      <w:r w:rsidR="00404E5B">
        <w:rPr>
          <w:color w:val="BF5A14"/>
        </w:rPr>
        <w:t xml:space="preserve"> </w:t>
      </w:r>
    </w:p>
    <w:p w:rsidR="00EE78AF" w:rsidRDefault="00EE78AF" w:rsidP="00D24C1A">
      <w:pPr>
        <w:pStyle w:val="Heading3"/>
        <w:spacing w:before="74"/>
        <w:jc w:val="both"/>
        <w:rPr>
          <w:rFonts w:ascii="Tw Cen MT" w:eastAsia="Tw Cen MT" w:hAnsi="Tw Cen MT" w:cs="Tw Cen MT"/>
          <w:b w:val="0"/>
          <w:bCs w:val="0"/>
          <w:sz w:val="18"/>
          <w:szCs w:val="18"/>
        </w:rPr>
      </w:pPr>
      <w:r w:rsidRPr="00EE78AF">
        <w:rPr>
          <w:rFonts w:ascii="Tw Cen MT" w:eastAsia="Tw Cen MT" w:hAnsi="Tw Cen MT" w:cs="Tw Cen MT"/>
          <w:b w:val="0"/>
          <w:bCs w:val="0"/>
          <w:sz w:val="18"/>
          <w:szCs w:val="18"/>
        </w:rPr>
        <w:t xml:space="preserve">The aim of this randomized double blinded sham-controlled study was to determine the effect of cerebellar anodal </w:t>
      </w:r>
      <w:proofErr w:type="spellStart"/>
      <w:r w:rsidRPr="00EE78AF">
        <w:rPr>
          <w:rFonts w:ascii="Tw Cen MT" w:eastAsia="Tw Cen MT" w:hAnsi="Tw Cen MT" w:cs="Tw Cen MT"/>
          <w:b w:val="0"/>
          <w:bCs w:val="0"/>
          <w:sz w:val="18"/>
          <w:szCs w:val="18"/>
        </w:rPr>
        <w:t>transcranial</w:t>
      </w:r>
      <w:proofErr w:type="spellEnd"/>
      <w:r w:rsidRPr="00EE78AF">
        <w:rPr>
          <w:rFonts w:ascii="Tw Cen MT" w:eastAsia="Tw Cen MT" w:hAnsi="Tw Cen MT" w:cs="Tw Cen MT"/>
          <w:b w:val="0"/>
          <w:bCs w:val="0"/>
          <w:sz w:val="18"/>
          <w:szCs w:val="18"/>
        </w:rPr>
        <w:t xml:space="preserve"> direct current stimulation (a-</w:t>
      </w:r>
      <w:proofErr w:type="spellStart"/>
      <w:r w:rsidRPr="00EE78AF">
        <w:rPr>
          <w:rFonts w:ascii="Tw Cen MT" w:eastAsia="Tw Cen MT" w:hAnsi="Tw Cen MT" w:cs="Tw Cen MT"/>
          <w:b w:val="0"/>
          <w:bCs w:val="0"/>
          <w:sz w:val="18"/>
          <w:szCs w:val="18"/>
        </w:rPr>
        <w:t>tDCS</w:t>
      </w:r>
      <w:proofErr w:type="spellEnd"/>
      <w:r w:rsidRPr="00EE78AF">
        <w:rPr>
          <w:rFonts w:ascii="Tw Cen MT" w:eastAsia="Tw Cen MT" w:hAnsi="Tw Cen MT" w:cs="Tw Cen MT"/>
          <w:b w:val="0"/>
          <w:bCs w:val="0"/>
          <w:sz w:val="18"/>
          <w:szCs w:val="18"/>
        </w:rPr>
        <w:t xml:space="preserve">) on online and offline motor learning in healthy older individuals. Thirty participants were randomly assigned in experimental (n=15) or sham </w:t>
      </w:r>
      <w:proofErr w:type="spellStart"/>
      <w:r w:rsidRPr="00EE78AF">
        <w:rPr>
          <w:rFonts w:ascii="Tw Cen MT" w:eastAsia="Tw Cen MT" w:hAnsi="Tw Cen MT" w:cs="Tw Cen MT"/>
          <w:b w:val="0"/>
          <w:bCs w:val="0"/>
          <w:sz w:val="18"/>
          <w:szCs w:val="18"/>
        </w:rPr>
        <w:t>tDCS</w:t>
      </w:r>
      <w:proofErr w:type="spellEnd"/>
      <w:r w:rsidRPr="00EE78AF">
        <w:rPr>
          <w:rFonts w:ascii="Tw Cen MT" w:eastAsia="Tw Cen MT" w:hAnsi="Tw Cen MT" w:cs="Tw Cen MT"/>
          <w:b w:val="0"/>
          <w:bCs w:val="0"/>
          <w:sz w:val="18"/>
          <w:szCs w:val="18"/>
        </w:rPr>
        <w:t xml:space="preserve"> (n=15) groups. Participants in experimental group received 2 mA cerebellar a-</w:t>
      </w:r>
      <w:proofErr w:type="spellStart"/>
      <w:r w:rsidRPr="00EE78AF">
        <w:rPr>
          <w:rFonts w:ascii="Tw Cen MT" w:eastAsia="Tw Cen MT" w:hAnsi="Tw Cen MT" w:cs="Tw Cen MT"/>
          <w:b w:val="0"/>
          <w:bCs w:val="0"/>
          <w:sz w:val="18"/>
          <w:szCs w:val="18"/>
        </w:rPr>
        <w:t>tDCS</w:t>
      </w:r>
      <w:proofErr w:type="spellEnd"/>
      <w:r w:rsidRPr="00EE78AF">
        <w:rPr>
          <w:rFonts w:ascii="Tw Cen MT" w:eastAsia="Tw Cen MT" w:hAnsi="Tw Cen MT" w:cs="Tw Cen MT"/>
          <w:b w:val="0"/>
          <w:bCs w:val="0"/>
          <w:sz w:val="18"/>
          <w:szCs w:val="18"/>
        </w:rPr>
        <w:t xml:space="preserve"> for 20 minutes. However, the </w:t>
      </w:r>
      <w:proofErr w:type="spellStart"/>
      <w:r w:rsidRPr="00EE78AF">
        <w:rPr>
          <w:rFonts w:ascii="Tw Cen MT" w:eastAsia="Tw Cen MT" w:hAnsi="Tw Cen MT" w:cs="Tw Cen MT"/>
          <w:b w:val="0"/>
          <w:bCs w:val="0"/>
          <w:sz w:val="18"/>
          <w:szCs w:val="18"/>
        </w:rPr>
        <w:t>tDCS</w:t>
      </w:r>
      <w:proofErr w:type="spellEnd"/>
      <w:r w:rsidRPr="00EE78AF">
        <w:rPr>
          <w:rFonts w:ascii="Tw Cen MT" w:eastAsia="Tw Cen MT" w:hAnsi="Tw Cen MT" w:cs="Tw Cen MT"/>
          <w:b w:val="0"/>
          <w:bCs w:val="0"/>
          <w:sz w:val="18"/>
          <w:szCs w:val="18"/>
        </w:rPr>
        <w:t xml:space="preserve"> was turned off after 30 seconds in sham group. Response time (RT) and error rate (ER) in serial response time test were assessed before, during 35 minutes and 48 hours after the intervention. Reduction of RT and ER following the intervention session was considered as short-term (35 minutes post intervention) and long-term offline learning (48 hours post intervention) respectively. Online RT and ER reduction were similar in both groups (p&gt;0.05).  RT was significantly reduced 48 hours post intervention in cerebellar a-</w:t>
      </w:r>
      <w:proofErr w:type="spellStart"/>
      <w:r w:rsidRPr="00EE78AF">
        <w:rPr>
          <w:rFonts w:ascii="Tw Cen MT" w:eastAsia="Tw Cen MT" w:hAnsi="Tw Cen MT" w:cs="Tw Cen MT"/>
          <w:b w:val="0"/>
          <w:bCs w:val="0"/>
          <w:sz w:val="18"/>
          <w:szCs w:val="18"/>
        </w:rPr>
        <w:t>tDCS</w:t>
      </w:r>
      <w:proofErr w:type="spellEnd"/>
      <w:r w:rsidRPr="00EE78AF">
        <w:rPr>
          <w:rFonts w:ascii="Tw Cen MT" w:eastAsia="Tw Cen MT" w:hAnsi="Tw Cen MT" w:cs="Tw Cen MT"/>
          <w:b w:val="0"/>
          <w:bCs w:val="0"/>
          <w:sz w:val="18"/>
          <w:szCs w:val="18"/>
        </w:rPr>
        <w:t xml:space="preserve"> group (p=0.03). Moreover, RT was significantly increased after 35 minutes and 48 hours in sham </w:t>
      </w:r>
      <w:proofErr w:type="spellStart"/>
      <w:r w:rsidRPr="00EE78AF">
        <w:rPr>
          <w:rFonts w:ascii="Tw Cen MT" w:eastAsia="Tw Cen MT" w:hAnsi="Tw Cen MT" w:cs="Tw Cen MT"/>
          <w:b w:val="0"/>
          <w:bCs w:val="0"/>
          <w:sz w:val="18"/>
          <w:szCs w:val="18"/>
        </w:rPr>
        <w:t>tDCS</w:t>
      </w:r>
      <w:proofErr w:type="spellEnd"/>
      <w:r w:rsidRPr="00EE78AF">
        <w:rPr>
          <w:rFonts w:ascii="Tw Cen MT" w:eastAsia="Tw Cen MT" w:hAnsi="Tw Cen MT" w:cs="Tw Cen MT"/>
          <w:b w:val="0"/>
          <w:bCs w:val="0"/>
          <w:sz w:val="18"/>
          <w:szCs w:val="18"/>
        </w:rPr>
        <w:t xml:space="preserve"> group (p=0.03, p=0.007), which indicates a lack of short-term and long-term offline learning in older adults. A-</w:t>
      </w:r>
      <w:proofErr w:type="spellStart"/>
      <w:r w:rsidRPr="00EE78AF">
        <w:rPr>
          <w:rFonts w:ascii="Tw Cen MT" w:eastAsia="Tw Cen MT" w:hAnsi="Tw Cen MT" w:cs="Tw Cen MT"/>
          <w:b w:val="0"/>
          <w:bCs w:val="0"/>
          <w:sz w:val="18"/>
          <w:szCs w:val="18"/>
        </w:rPr>
        <w:t>tDCS</w:t>
      </w:r>
      <w:proofErr w:type="spellEnd"/>
      <w:r w:rsidRPr="00EE78AF">
        <w:rPr>
          <w:rFonts w:ascii="Tw Cen MT" w:eastAsia="Tw Cen MT" w:hAnsi="Tw Cen MT" w:cs="Tw Cen MT"/>
          <w:b w:val="0"/>
          <w:bCs w:val="0"/>
          <w:sz w:val="18"/>
          <w:szCs w:val="18"/>
        </w:rPr>
        <w:t xml:space="preserve"> on cerebellar region produced more short-term and long-term offline improvement in RT (p=0.014, p=0.01) compared to sham </w:t>
      </w:r>
      <w:proofErr w:type="spellStart"/>
      <w:r w:rsidRPr="00EE78AF">
        <w:rPr>
          <w:rFonts w:ascii="Tw Cen MT" w:eastAsia="Tw Cen MT" w:hAnsi="Tw Cen MT" w:cs="Tw Cen MT"/>
          <w:b w:val="0"/>
          <w:bCs w:val="0"/>
          <w:sz w:val="18"/>
          <w:szCs w:val="18"/>
        </w:rPr>
        <w:t>tDCS</w:t>
      </w:r>
      <w:proofErr w:type="spellEnd"/>
      <w:r w:rsidRPr="00EE78AF">
        <w:rPr>
          <w:rFonts w:ascii="Tw Cen MT" w:eastAsia="Tw Cen MT" w:hAnsi="Tw Cen MT" w:cs="Tw Cen MT"/>
          <w:b w:val="0"/>
          <w:bCs w:val="0"/>
          <w:sz w:val="18"/>
          <w:szCs w:val="18"/>
        </w:rPr>
        <w:t>. In addition, online, short-term and long-term (48 hours) offline error reduced in cerebellar a-</w:t>
      </w:r>
      <w:proofErr w:type="spellStart"/>
      <w:r w:rsidRPr="00EE78AF">
        <w:rPr>
          <w:rFonts w:ascii="Tw Cen MT" w:eastAsia="Tw Cen MT" w:hAnsi="Tw Cen MT" w:cs="Tw Cen MT"/>
          <w:b w:val="0"/>
          <w:bCs w:val="0"/>
          <w:sz w:val="18"/>
          <w:szCs w:val="18"/>
        </w:rPr>
        <w:t>tDCS</w:t>
      </w:r>
      <w:proofErr w:type="spellEnd"/>
      <w:r w:rsidRPr="00EE78AF">
        <w:rPr>
          <w:rFonts w:ascii="Tw Cen MT" w:eastAsia="Tw Cen MT" w:hAnsi="Tw Cen MT" w:cs="Tw Cen MT"/>
          <w:b w:val="0"/>
          <w:bCs w:val="0"/>
          <w:sz w:val="18"/>
          <w:szCs w:val="18"/>
        </w:rPr>
        <w:t xml:space="preserve"> as compared to sham-control group, although this reduction was not significant (p&gt;0.05). A deficit suggests that a direct comparison to a younger group was made. The findings suggested that cerebellar a-</w:t>
      </w:r>
      <w:proofErr w:type="spellStart"/>
      <w:r w:rsidRPr="00EE78AF">
        <w:rPr>
          <w:rFonts w:ascii="Tw Cen MT" w:eastAsia="Tw Cen MT" w:hAnsi="Tw Cen MT" w:cs="Tw Cen MT"/>
          <w:b w:val="0"/>
          <w:bCs w:val="0"/>
          <w:sz w:val="18"/>
          <w:szCs w:val="18"/>
        </w:rPr>
        <w:t>tDCS</w:t>
      </w:r>
      <w:proofErr w:type="spellEnd"/>
      <w:r w:rsidRPr="00EE78AF">
        <w:rPr>
          <w:rFonts w:ascii="Tw Cen MT" w:eastAsia="Tw Cen MT" w:hAnsi="Tw Cen MT" w:cs="Tw Cen MT"/>
          <w:b w:val="0"/>
          <w:bCs w:val="0"/>
          <w:sz w:val="18"/>
          <w:szCs w:val="18"/>
        </w:rPr>
        <w:t xml:space="preserve"> might be useful for improvement of offline motor learning in older individuals. </w:t>
      </w:r>
    </w:p>
    <w:p w:rsidR="00EE78AF" w:rsidRDefault="00EE78AF" w:rsidP="00D24C1A">
      <w:pPr>
        <w:pStyle w:val="Heading3"/>
        <w:spacing w:before="74"/>
        <w:jc w:val="both"/>
        <w:rPr>
          <w:rFonts w:ascii="Tw Cen MT" w:eastAsia="Tw Cen MT" w:hAnsi="Tw Cen MT" w:cs="Tw Cen MT"/>
          <w:b w:val="0"/>
          <w:bCs w:val="0"/>
          <w:sz w:val="18"/>
          <w:szCs w:val="18"/>
        </w:rPr>
      </w:pPr>
    </w:p>
    <w:p w:rsidR="00EE78AF" w:rsidRDefault="00EE78AF">
      <w:pPr>
        <w:pStyle w:val="Heading3"/>
        <w:spacing w:before="74"/>
        <w:rPr>
          <w:rFonts w:ascii="Tw Cen MT" w:eastAsia="Tw Cen MT" w:hAnsi="Tw Cen MT" w:cs="Tw Cen MT"/>
          <w:b w:val="0"/>
          <w:bCs w:val="0"/>
          <w:sz w:val="18"/>
          <w:szCs w:val="18"/>
        </w:rPr>
      </w:pPr>
    </w:p>
    <w:p w:rsidR="00EE78AF" w:rsidRDefault="00EE78AF">
      <w:pPr>
        <w:pStyle w:val="Heading3"/>
        <w:spacing w:before="74"/>
        <w:rPr>
          <w:rFonts w:ascii="Tw Cen MT" w:eastAsia="Tw Cen MT" w:hAnsi="Tw Cen MT" w:cs="Tw Cen MT"/>
          <w:b w:val="0"/>
          <w:bCs w:val="0"/>
          <w:sz w:val="18"/>
          <w:szCs w:val="18"/>
        </w:rPr>
      </w:pPr>
      <w:bookmarkStart w:id="0" w:name="_GoBack"/>
      <w:r>
        <w:rPr>
          <w:rFonts w:ascii="Calibri"/>
          <w:noProof/>
          <w:sz w:val="4"/>
        </w:rPr>
        <mc:AlternateContent>
          <mc:Choice Requires="wpg">
            <w:drawing>
              <wp:inline distT="0" distB="0" distL="0" distR="0" wp14:anchorId="525E240B" wp14:editId="00998B5F">
                <wp:extent cx="2905493" cy="0"/>
                <wp:effectExtent l="0" t="0" r="28575" b="1905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2905493" cy="0"/>
                          <a:chOff x="-155" y="-786"/>
                          <a:chExt cx="6221" cy="0"/>
                        </a:xfrm>
                      </wpg:grpSpPr>
                      <wps:wsp>
                        <wps:cNvPr id="15" name="Line 5"/>
                        <wps:cNvCnPr/>
                        <wps:spPr bwMode="auto">
                          <a:xfrm>
                            <a:off x="-155" y="-786"/>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03EF30" id="Group 4" o:spid="_x0000_s1026" style="width:228.8pt;height:0;flip:y;mso-position-horizontal-relative:char;mso-position-vertical-relative:line" coordorigin="-155,-786"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">
                <v:line id="Line 5" o:spid="_x0000_s1027" style="position:absolute;visibility:visible;mso-wrap-style:square" from="-155,-786" to="6066,-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bookmarkEnd w:id="0"/>
    </w:p>
    <w:p w:rsidR="00EE78AF" w:rsidRDefault="00EE78AF">
      <w:pPr>
        <w:pStyle w:val="Heading3"/>
        <w:spacing w:before="74"/>
        <w:rPr>
          <w:rFonts w:ascii="Tw Cen MT" w:eastAsia="Tw Cen MT" w:hAnsi="Tw Cen MT" w:cs="Tw Cen MT"/>
          <w:b w:val="0"/>
          <w:bCs w:val="0"/>
          <w:sz w:val="18"/>
          <w:szCs w:val="18"/>
        </w:rPr>
      </w:pPr>
    </w:p>
    <w:p w:rsidR="00EE78AF" w:rsidRDefault="00EE78AF">
      <w:pPr>
        <w:pStyle w:val="Heading3"/>
        <w:spacing w:before="74"/>
        <w:rPr>
          <w:rFonts w:ascii="Tw Cen MT" w:eastAsia="Tw Cen MT" w:hAnsi="Tw Cen MT" w:cs="Tw Cen MT"/>
          <w:b w:val="0"/>
          <w:bCs w:val="0"/>
          <w:sz w:val="18"/>
          <w:szCs w:val="18"/>
        </w:rPr>
      </w:pPr>
    </w:p>
    <w:p w:rsidR="00EE78AF" w:rsidRDefault="00EE78AF">
      <w:pPr>
        <w:pStyle w:val="Heading3"/>
        <w:spacing w:before="74"/>
        <w:rPr>
          <w:rFonts w:ascii="Tw Cen MT" w:eastAsia="Tw Cen MT" w:hAnsi="Tw Cen MT" w:cs="Tw Cen MT"/>
          <w:b w:val="0"/>
          <w:bCs w:val="0"/>
          <w:sz w:val="18"/>
          <w:szCs w:val="18"/>
        </w:rPr>
      </w:pPr>
    </w:p>
    <w:p w:rsidR="00AE3E37" w:rsidRDefault="00A9710C">
      <w:pPr>
        <w:pStyle w:val="Heading3"/>
        <w:spacing w:before="74"/>
      </w:pPr>
      <w:r>
        <w:rPr>
          <w:b w:val="0"/>
        </w:rPr>
        <w:br w:type="column"/>
      </w:r>
      <w:r>
        <w:rPr>
          <w:color w:val="BF5A14"/>
        </w:rPr>
        <w:lastRenderedPageBreak/>
        <w:t>Image</w:t>
      </w:r>
    </w:p>
    <w:p w:rsidR="00AE3E37" w:rsidRDefault="00EE78AF">
      <w:pPr>
        <w:pStyle w:val="BodyText"/>
        <w:spacing w:before="2"/>
        <w:rPr>
          <w:rFonts w:ascii="Arial"/>
          <w:b/>
          <w:sz w:val="16"/>
        </w:rPr>
      </w:pPr>
      <w:r w:rsidRPr="00EE78AF">
        <w:rPr>
          <w:rFonts w:ascii="Arial"/>
          <w:b/>
          <w:noProof/>
          <w:sz w:val="16"/>
        </w:rPr>
        <w:drawing>
          <wp:inline distT="0" distB="0" distL="0" distR="0">
            <wp:extent cx="2231235" cy="2550655"/>
            <wp:effectExtent l="0" t="0" r="0" b="2540"/>
            <wp:docPr id="3" name="Picture 3" descr="C:\Users\Aseman\Desktop\daneshjoo\aging,learning\aging article\J Uropian Neuroscience\revised file\revision3\figures,rev4\Figure2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eman\Desktop\daneshjoo\aging,learning\aging article\J Uropian Neuroscience\revised file\revision3\figures,rev4\Figure2 (1).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33217" cy="2552921"/>
                    </a:xfrm>
                    <a:prstGeom prst="rect">
                      <a:avLst/>
                    </a:prstGeom>
                    <a:noFill/>
                    <a:ln>
                      <a:noFill/>
                    </a:ln>
                  </pic:spPr>
                </pic:pic>
              </a:graphicData>
            </a:graphic>
          </wp:inline>
        </w:drawing>
      </w:r>
    </w:p>
    <w:p w:rsidR="00EE78AF" w:rsidRDefault="00371EC0" w:rsidP="005973B9">
      <w:pPr>
        <w:spacing w:line="204" w:lineRule="exact"/>
        <w:rPr>
          <w:rFonts w:ascii="Arial"/>
          <w:b/>
          <w:color w:val="BF5A14"/>
          <w:sz w:val="20"/>
        </w:rPr>
      </w:pPr>
      <w:r>
        <w:rPr>
          <w:rFonts w:ascii="Arial"/>
          <w:b/>
          <w:color w:val="BF5A14"/>
          <w:sz w:val="20"/>
        </w:rPr>
        <w:br/>
      </w:r>
    </w:p>
    <w:p w:rsidR="00EE78AF" w:rsidRDefault="00EE78AF" w:rsidP="005973B9">
      <w:pPr>
        <w:spacing w:line="204" w:lineRule="exact"/>
        <w:rPr>
          <w:rFonts w:ascii="Arial"/>
          <w:b/>
          <w:color w:val="BF5A14"/>
          <w:sz w:val="20"/>
        </w:rPr>
      </w:pPr>
    </w:p>
    <w:p w:rsidR="005973B9" w:rsidRDefault="00371EC0" w:rsidP="005973B9">
      <w:pPr>
        <w:spacing w:line="204" w:lineRule="exact"/>
        <w:rPr>
          <w:rFonts w:ascii="Arial"/>
          <w:b/>
          <w:sz w:val="20"/>
        </w:rPr>
      </w:pPr>
      <w:r>
        <w:rPr>
          <w:rFonts w:ascii="Arial"/>
          <w:b/>
          <w:color w:val="BF5A14"/>
          <w:sz w:val="20"/>
        </w:rPr>
        <w:t>Recent Publications:</w:t>
      </w:r>
    </w:p>
    <w:p w:rsidR="00EE78AF" w:rsidRDefault="00EE78AF" w:rsidP="00EE78AF">
      <w:pPr>
        <w:pStyle w:val="ListParagraph"/>
        <w:numPr>
          <w:ilvl w:val="0"/>
          <w:numId w:val="3"/>
        </w:numPr>
        <w:tabs>
          <w:tab w:val="left" w:pos="384"/>
        </w:tabs>
        <w:spacing w:line="216" w:lineRule="exact"/>
        <w:ind w:right="137"/>
        <w:rPr>
          <w:sz w:val="18"/>
        </w:rPr>
      </w:pPr>
      <w:proofErr w:type="spellStart"/>
      <w:r w:rsidRPr="00EE78AF">
        <w:rPr>
          <w:sz w:val="18"/>
        </w:rPr>
        <w:t>Ehsani</w:t>
      </w:r>
      <w:proofErr w:type="spellEnd"/>
      <w:r w:rsidRPr="00EE78AF">
        <w:rPr>
          <w:sz w:val="18"/>
        </w:rPr>
        <w:t xml:space="preserve">, F., </w:t>
      </w:r>
      <w:proofErr w:type="spellStart"/>
      <w:r w:rsidRPr="00EE78AF">
        <w:rPr>
          <w:sz w:val="18"/>
        </w:rPr>
        <w:t>Bakhtiary</w:t>
      </w:r>
      <w:proofErr w:type="spellEnd"/>
      <w:r w:rsidRPr="00EE78AF">
        <w:rPr>
          <w:sz w:val="18"/>
        </w:rPr>
        <w:t xml:space="preserve">, A., </w:t>
      </w:r>
      <w:proofErr w:type="spellStart"/>
      <w:r w:rsidRPr="00EE78AF">
        <w:rPr>
          <w:sz w:val="18"/>
        </w:rPr>
        <w:t>Jaberzadeh</w:t>
      </w:r>
      <w:proofErr w:type="spellEnd"/>
      <w:r w:rsidRPr="00EE78AF">
        <w:rPr>
          <w:sz w:val="18"/>
        </w:rPr>
        <w:t xml:space="preserve">, S., </w:t>
      </w:r>
      <w:proofErr w:type="spellStart"/>
      <w:r w:rsidRPr="00EE78AF">
        <w:rPr>
          <w:sz w:val="18"/>
        </w:rPr>
        <w:t>Talimkhani</w:t>
      </w:r>
      <w:proofErr w:type="spellEnd"/>
      <w:r w:rsidRPr="00EE78AF">
        <w:rPr>
          <w:sz w:val="18"/>
        </w:rPr>
        <w:t>, A. &amp;</w:t>
      </w:r>
      <w:proofErr w:type="spellStart"/>
      <w:r w:rsidRPr="00EE78AF">
        <w:rPr>
          <w:sz w:val="18"/>
        </w:rPr>
        <w:t>Hajihasani</w:t>
      </w:r>
      <w:proofErr w:type="spellEnd"/>
      <w:r w:rsidRPr="00EE78AF">
        <w:rPr>
          <w:sz w:val="18"/>
        </w:rPr>
        <w:t xml:space="preserve">, A. (2016) Differential effects of primary motor cortex and cerebellar </w:t>
      </w:r>
      <w:proofErr w:type="spellStart"/>
      <w:r w:rsidRPr="00EE78AF">
        <w:rPr>
          <w:sz w:val="18"/>
        </w:rPr>
        <w:t>transcranial</w:t>
      </w:r>
      <w:proofErr w:type="spellEnd"/>
      <w:r w:rsidRPr="00EE78AF">
        <w:rPr>
          <w:sz w:val="18"/>
        </w:rPr>
        <w:t xml:space="preserve"> direct current stimulation on motor learning in healthy individuals: A randomized double-blind sham-controlled study. </w:t>
      </w:r>
      <w:proofErr w:type="spellStart"/>
      <w:r w:rsidRPr="00EE78AF">
        <w:rPr>
          <w:sz w:val="18"/>
        </w:rPr>
        <w:t>Neurosci</w:t>
      </w:r>
      <w:proofErr w:type="spellEnd"/>
      <w:r w:rsidRPr="00EE78AF">
        <w:rPr>
          <w:sz w:val="18"/>
        </w:rPr>
        <w:t xml:space="preserve"> Res., 112, 10-19.</w:t>
      </w:r>
    </w:p>
    <w:p w:rsidR="00EE78AF" w:rsidRDefault="00EE78AF" w:rsidP="00EE78AF">
      <w:pPr>
        <w:pStyle w:val="ListParagraph"/>
        <w:numPr>
          <w:ilvl w:val="0"/>
          <w:numId w:val="3"/>
        </w:numPr>
        <w:tabs>
          <w:tab w:val="left" w:pos="384"/>
        </w:tabs>
        <w:spacing w:line="216" w:lineRule="exact"/>
        <w:ind w:right="138"/>
        <w:rPr>
          <w:sz w:val="18"/>
        </w:rPr>
      </w:pPr>
      <w:proofErr w:type="spellStart"/>
      <w:r w:rsidRPr="00EE78AF">
        <w:rPr>
          <w:sz w:val="18"/>
        </w:rPr>
        <w:t>Ferrucci</w:t>
      </w:r>
      <w:proofErr w:type="spellEnd"/>
      <w:r w:rsidRPr="00EE78AF">
        <w:rPr>
          <w:sz w:val="18"/>
        </w:rPr>
        <w:t xml:space="preserve">, R., </w:t>
      </w:r>
      <w:proofErr w:type="spellStart"/>
      <w:r w:rsidRPr="00EE78AF">
        <w:rPr>
          <w:sz w:val="18"/>
        </w:rPr>
        <w:t>Brunoni</w:t>
      </w:r>
      <w:proofErr w:type="spellEnd"/>
      <w:r w:rsidRPr="00EE78AF">
        <w:rPr>
          <w:sz w:val="18"/>
        </w:rPr>
        <w:t xml:space="preserve">, A.R., </w:t>
      </w:r>
      <w:proofErr w:type="spellStart"/>
      <w:r w:rsidRPr="00EE78AF">
        <w:rPr>
          <w:sz w:val="18"/>
        </w:rPr>
        <w:t>Parazzini</w:t>
      </w:r>
      <w:proofErr w:type="spellEnd"/>
      <w:r w:rsidRPr="00EE78AF">
        <w:rPr>
          <w:sz w:val="18"/>
        </w:rPr>
        <w:t xml:space="preserve">, M., </w:t>
      </w:r>
      <w:proofErr w:type="spellStart"/>
      <w:r w:rsidRPr="00EE78AF">
        <w:rPr>
          <w:sz w:val="18"/>
        </w:rPr>
        <w:t>Vergari</w:t>
      </w:r>
      <w:proofErr w:type="spellEnd"/>
      <w:r w:rsidRPr="00EE78AF">
        <w:rPr>
          <w:sz w:val="18"/>
        </w:rPr>
        <w:t xml:space="preserve">, M., Rossi, E., </w:t>
      </w:r>
      <w:proofErr w:type="spellStart"/>
      <w:r w:rsidRPr="00EE78AF">
        <w:rPr>
          <w:sz w:val="18"/>
        </w:rPr>
        <w:t>Fumagalli</w:t>
      </w:r>
      <w:proofErr w:type="spellEnd"/>
      <w:r w:rsidRPr="00EE78AF">
        <w:rPr>
          <w:sz w:val="18"/>
        </w:rPr>
        <w:t xml:space="preserve">, M., </w:t>
      </w:r>
      <w:proofErr w:type="spellStart"/>
      <w:r w:rsidRPr="00EE78AF">
        <w:rPr>
          <w:sz w:val="18"/>
        </w:rPr>
        <w:t>Mameli</w:t>
      </w:r>
      <w:proofErr w:type="spellEnd"/>
      <w:r w:rsidRPr="00EE78AF">
        <w:rPr>
          <w:sz w:val="18"/>
        </w:rPr>
        <w:t xml:space="preserve">, F., Rosa, M., </w:t>
      </w:r>
      <w:proofErr w:type="spellStart"/>
      <w:r w:rsidRPr="00EE78AF">
        <w:rPr>
          <w:sz w:val="18"/>
        </w:rPr>
        <w:t>Giannicola</w:t>
      </w:r>
      <w:proofErr w:type="spellEnd"/>
      <w:r w:rsidRPr="00EE78AF">
        <w:rPr>
          <w:sz w:val="18"/>
        </w:rPr>
        <w:t xml:space="preserve">, G. &amp; </w:t>
      </w:r>
      <w:proofErr w:type="spellStart"/>
      <w:r w:rsidRPr="00EE78AF">
        <w:rPr>
          <w:sz w:val="18"/>
        </w:rPr>
        <w:t>Zago</w:t>
      </w:r>
      <w:proofErr w:type="spellEnd"/>
      <w:r w:rsidRPr="00EE78AF">
        <w:rPr>
          <w:sz w:val="18"/>
        </w:rPr>
        <w:t xml:space="preserve">, S. (2013) Modulating human procedural learning by cerebellar </w:t>
      </w:r>
      <w:proofErr w:type="spellStart"/>
      <w:r w:rsidRPr="00EE78AF">
        <w:rPr>
          <w:sz w:val="18"/>
        </w:rPr>
        <w:t>transcranial</w:t>
      </w:r>
      <w:proofErr w:type="spellEnd"/>
      <w:r w:rsidRPr="00EE78AF">
        <w:rPr>
          <w:sz w:val="18"/>
        </w:rPr>
        <w:t xml:space="preserve"> direct current stimulation. Cerebellum, 12, 485-492.</w:t>
      </w:r>
    </w:p>
    <w:p w:rsidR="00AE3E37" w:rsidRPr="00EE78AF" w:rsidRDefault="00EE78AF" w:rsidP="00EE78AF">
      <w:pPr>
        <w:pStyle w:val="ListParagraph"/>
        <w:numPr>
          <w:ilvl w:val="0"/>
          <w:numId w:val="3"/>
        </w:numPr>
        <w:tabs>
          <w:tab w:val="left" w:pos="384"/>
        </w:tabs>
        <w:spacing w:line="216" w:lineRule="exact"/>
        <w:ind w:right="138"/>
        <w:rPr>
          <w:sz w:val="18"/>
        </w:rPr>
        <w:sectPr w:rsidR="00AE3E37" w:rsidRPr="00EE78AF">
          <w:type w:val="continuous"/>
          <w:pgSz w:w="11910" w:h="16840"/>
          <w:pgMar w:top="1740" w:right="600" w:bottom="840" w:left="620" w:header="720" w:footer="720" w:gutter="0"/>
          <w:cols w:num="2" w:space="720" w:equalWidth="0">
            <w:col w:w="5214" w:space="138"/>
            <w:col w:w="5338"/>
          </w:cols>
        </w:sectPr>
      </w:pPr>
      <w:r w:rsidRPr="00EE78AF">
        <w:rPr>
          <w:sz w:val="18"/>
        </w:rPr>
        <w:t xml:space="preserve">Hardwick, R.M. &amp; </w:t>
      </w:r>
      <w:proofErr w:type="spellStart"/>
      <w:r w:rsidRPr="00EE78AF">
        <w:rPr>
          <w:sz w:val="18"/>
        </w:rPr>
        <w:t>Celnik</w:t>
      </w:r>
      <w:proofErr w:type="spellEnd"/>
      <w:r w:rsidRPr="00EE78AF">
        <w:rPr>
          <w:sz w:val="18"/>
        </w:rPr>
        <w:t xml:space="preserve">, P.A. (2014) Cerebellar direct current stimulation enhances motor learning in older adults. </w:t>
      </w:r>
      <w:proofErr w:type="spellStart"/>
      <w:r w:rsidRPr="00EE78AF">
        <w:rPr>
          <w:sz w:val="18"/>
        </w:rPr>
        <w:t>Neurobiol</w:t>
      </w:r>
      <w:proofErr w:type="spellEnd"/>
      <w:r w:rsidRPr="00EE78AF">
        <w:rPr>
          <w:sz w:val="18"/>
        </w:rPr>
        <w:t xml:space="preserve"> Aging., 35, 2217-2221.</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AE3E37" w:rsidRDefault="00A9710C" w:rsidP="00EE78AF">
      <w:pPr>
        <w:spacing w:before="92"/>
        <w:ind w:right="4234"/>
        <w:rPr>
          <w:rFonts w:ascii="Arial"/>
        </w:rPr>
      </w:pPr>
      <w:r>
        <w:rPr>
          <w:rFonts w:ascii="Arial"/>
          <w:color w:val="BF5A14"/>
        </w:rPr>
        <w:t>Biography</w:t>
      </w:r>
      <w:r w:rsidR="00404E5B">
        <w:rPr>
          <w:rFonts w:ascii="Arial"/>
          <w:color w:val="BF5A14"/>
        </w:rPr>
        <w:t xml:space="preserve"> </w:t>
      </w:r>
    </w:p>
    <w:p w:rsidR="00D24C1A" w:rsidRDefault="00D24C1A" w:rsidP="00D24C1A">
      <w:pPr>
        <w:spacing w:before="41" w:line="154" w:lineRule="exact"/>
        <w:ind w:left="213" w:right="231"/>
        <w:jc w:val="both"/>
        <w:rPr>
          <w:rFonts w:ascii="Arial"/>
          <w:sz w:val="14"/>
        </w:rPr>
      </w:pPr>
      <w:proofErr w:type="spellStart"/>
      <w:r>
        <w:rPr>
          <w:rFonts w:ascii="Arial"/>
          <w:sz w:val="14"/>
        </w:rPr>
        <w:t>Fatemeh</w:t>
      </w:r>
      <w:proofErr w:type="spellEnd"/>
      <w:r>
        <w:rPr>
          <w:rFonts w:ascii="Arial"/>
          <w:sz w:val="14"/>
        </w:rPr>
        <w:t xml:space="preserve"> </w:t>
      </w:r>
      <w:proofErr w:type="spellStart"/>
      <w:r>
        <w:rPr>
          <w:rFonts w:ascii="Arial"/>
          <w:sz w:val="14"/>
        </w:rPr>
        <w:t>Ehsani</w:t>
      </w:r>
      <w:proofErr w:type="spellEnd"/>
      <w:r>
        <w:rPr>
          <w:rFonts w:ascii="Arial"/>
          <w:sz w:val="14"/>
        </w:rPr>
        <w:t xml:space="preserve"> has his</w:t>
      </w:r>
      <w:r w:rsidR="00A9710C">
        <w:rPr>
          <w:rFonts w:ascii="Arial"/>
          <w:sz w:val="14"/>
        </w:rPr>
        <w:t xml:space="preserve"> expertise in </w:t>
      </w:r>
      <w:r>
        <w:rPr>
          <w:rFonts w:ascii="Arial"/>
          <w:sz w:val="14"/>
        </w:rPr>
        <w:t xml:space="preserve">neuroscience, motor control and motor behaviors. She assess the motor learning in aging and indicated that </w:t>
      </w:r>
      <w:r w:rsidRPr="00D24C1A">
        <w:rPr>
          <w:rFonts w:ascii="Arial"/>
          <w:sz w:val="14"/>
        </w:rPr>
        <w:t>cerebellar a-</w:t>
      </w:r>
      <w:proofErr w:type="spellStart"/>
      <w:r w:rsidRPr="00D24C1A">
        <w:rPr>
          <w:rFonts w:ascii="Arial"/>
          <w:sz w:val="14"/>
        </w:rPr>
        <w:t>tDCS</w:t>
      </w:r>
      <w:proofErr w:type="spellEnd"/>
      <w:r w:rsidRPr="00D24C1A">
        <w:rPr>
          <w:rFonts w:ascii="Arial"/>
          <w:sz w:val="14"/>
        </w:rPr>
        <w:t xml:space="preserve"> increases short-term and long-term offline motor learning in older adults. The findings indicate that cerebellum has a key role in processing of implicit motor learning of older adults and cerebellar a-</w:t>
      </w:r>
      <w:proofErr w:type="spellStart"/>
      <w:r w:rsidRPr="00D24C1A">
        <w:rPr>
          <w:rFonts w:ascii="Arial"/>
          <w:sz w:val="14"/>
        </w:rPr>
        <w:t>tDCS</w:t>
      </w:r>
      <w:proofErr w:type="spellEnd"/>
      <w:r w:rsidRPr="00D24C1A">
        <w:rPr>
          <w:rFonts w:ascii="Arial"/>
          <w:sz w:val="14"/>
        </w:rPr>
        <w:t xml:space="preserve"> may induce changes in motor learning which may last up to 48 hours in healthy older individuals. </w:t>
      </w:r>
    </w:p>
    <w:p w:rsidR="00AE3E37" w:rsidRDefault="00A9710C" w:rsidP="00D24C1A">
      <w:pPr>
        <w:spacing w:before="41" w:line="154" w:lineRule="exact"/>
        <w:ind w:left="213" w:right="231"/>
        <w:jc w:val="both"/>
        <w:rPr>
          <w:rFonts w:ascii="Arial"/>
          <w:sz w:val="14"/>
        </w:rPr>
      </w:pPr>
      <w:r>
        <w:rPr>
          <w:rFonts w:ascii="Arial"/>
          <w:sz w:val="14"/>
        </w:rPr>
        <w:t xml:space="preserve">Email: </w:t>
      </w:r>
      <w:r w:rsidR="00D24C1A" w:rsidRPr="00D24C1A">
        <w:rPr>
          <w:sz w:val="18"/>
          <w:szCs w:val="18"/>
        </w:rPr>
        <w:t>fatemehehsani59@yahoo.com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9B8F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7BEA" w:rsidRDefault="00797BEA">
      <w:r>
        <w:separator/>
      </w:r>
    </w:p>
  </w:endnote>
  <w:endnote w:type="continuationSeparator" w:id="0">
    <w:p w:rsidR="00797BEA" w:rsidRDefault="00797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61002A87" w:usb1="80000000" w:usb2="00000008"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8E3C03F" wp14:editId="6452FCA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3C03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EB2EB8E" wp14:editId="1103877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2EB8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F70DB1D" wp14:editId="3792BD2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0DB1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7BEA" w:rsidRDefault="00797BEA">
      <w:r>
        <w:separator/>
      </w:r>
    </w:p>
  </w:footnote>
  <w:footnote w:type="continuationSeparator" w:id="0">
    <w:p w:rsidR="00797BEA" w:rsidRDefault="00797B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43680">
    <w:pPr>
      <w:pStyle w:val="BodyText"/>
      <w:spacing w:line="14" w:lineRule="auto"/>
      <w:rPr>
        <w:sz w:val="20"/>
      </w:rPr>
    </w:pPr>
    <w:r>
      <w:rPr>
        <w:noProof/>
        <w:sz w:val="20"/>
      </w:rPr>
      <w:drawing>
        <wp:inline distT="0" distB="0" distL="0" distR="0">
          <wp:extent cx="6751929" cy="1170432"/>
          <wp:effectExtent l="0" t="0" r="0" b="0"/>
          <wp:docPr id="2" name="Picture 2" descr="D:\ICAG 2018\pdfs\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1220" cy="118417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03A"/>
    <w:rsid w:val="00043680"/>
    <w:rsid w:val="000E2911"/>
    <w:rsid w:val="001263DF"/>
    <w:rsid w:val="00292ED9"/>
    <w:rsid w:val="003060F0"/>
    <w:rsid w:val="00371EC0"/>
    <w:rsid w:val="003C269C"/>
    <w:rsid w:val="003C3A93"/>
    <w:rsid w:val="003E4EBC"/>
    <w:rsid w:val="00404E5B"/>
    <w:rsid w:val="00414F7B"/>
    <w:rsid w:val="0043389A"/>
    <w:rsid w:val="004355DC"/>
    <w:rsid w:val="004749B4"/>
    <w:rsid w:val="00484C45"/>
    <w:rsid w:val="00494130"/>
    <w:rsid w:val="004D0851"/>
    <w:rsid w:val="004F3523"/>
    <w:rsid w:val="00514253"/>
    <w:rsid w:val="005973B9"/>
    <w:rsid w:val="005B3A56"/>
    <w:rsid w:val="006060CE"/>
    <w:rsid w:val="0063497F"/>
    <w:rsid w:val="00652D26"/>
    <w:rsid w:val="006805E6"/>
    <w:rsid w:val="0070580A"/>
    <w:rsid w:val="00783DE4"/>
    <w:rsid w:val="00797BEA"/>
    <w:rsid w:val="00806EF1"/>
    <w:rsid w:val="00873DF0"/>
    <w:rsid w:val="008756E6"/>
    <w:rsid w:val="009B2D44"/>
    <w:rsid w:val="00A07E82"/>
    <w:rsid w:val="00A84461"/>
    <w:rsid w:val="00A9710C"/>
    <w:rsid w:val="00AE3E37"/>
    <w:rsid w:val="00B21A57"/>
    <w:rsid w:val="00C33602"/>
    <w:rsid w:val="00C57310"/>
    <w:rsid w:val="00CD6F55"/>
    <w:rsid w:val="00CF0C0C"/>
    <w:rsid w:val="00D1581D"/>
    <w:rsid w:val="00D24C1A"/>
    <w:rsid w:val="00DE3104"/>
    <w:rsid w:val="00DE6D9F"/>
    <w:rsid w:val="00E02AAF"/>
    <w:rsid w:val="00E764A1"/>
    <w:rsid w:val="00E76626"/>
    <w:rsid w:val="00EE78AF"/>
    <w:rsid w:val="00F72EEA"/>
    <w:rsid w:val="00F84CAE"/>
    <w:rsid w:val="00FE79A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04ABEB-1553-47C3-AFC3-3B11FDA00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Aseman</cp:lastModifiedBy>
  <cp:revision>4</cp:revision>
  <dcterms:created xsi:type="dcterms:W3CDTF">2018-01-05T02:24:00Z</dcterms:created>
  <dcterms:modified xsi:type="dcterms:W3CDTF">2018-01-10T13:38:00Z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