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404EC" w14:textId="77777777" w:rsidR="009C018F" w:rsidRPr="009C018F" w:rsidRDefault="009C018F" w:rsidP="009C018F">
      <w:pPr>
        <w:rPr>
          <w:rFonts w:asciiTheme="majorHAnsi" w:hAnsiTheme="majorHAnsi" w:cs="Microsoft Sans Serif"/>
          <w:b/>
          <w:sz w:val="36"/>
          <w:szCs w:val="36"/>
          <w:lang w:val="en-GB"/>
        </w:rPr>
      </w:pPr>
      <w:r w:rsidRPr="009C018F">
        <w:rPr>
          <w:rFonts w:asciiTheme="majorHAnsi" w:hAnsiTheme="majorHAnsi" w:cs="Microsoft Sans Serif"/>
          <w:b/>
          <w:sz w:val="36"/>
          <w:szCs w:val="36"/>
          <w:lang w:val="en-GB"/>
        </w:rPr>
        <w:t>The Effectiveness of Prolonged Course of High Dose Vitamin D Replacement in the Older Person</w:t>
      </w:r>
    </w:p>
    <w:p w14:paraId="0E2B9594" w14:textId="19CD76C7" w:rsidR="009C018F" w:rsidRDefault="009C018F" w:rsidP="009C018F">
      <w:pPr>
        <w:rPr>
          <w:lang w:val="en-GB"/>
        </w:rPr>
      </w:pPr>
      <w:r>
        <w:rPr>
          <w:lang w:val="en-GB"/>
        </w:rPr>
        <w:t xml:space="preserve">N Ma and A Abdulla, </w:t>
      </w:r>
      <w:r w:rsidR="00C66E9B">
        <w:rPr>
          <w:lang w:val="en-GB"/>
        </w:rPr>
        <w:t>Department</w:t>
      </w:r>
      <w:r>
        <w:rPr>
          <w:lang w:val="en-GB"/>
        </w:rPr>
        <w:t xml:space="preserve"> of Clinical Gerontology, Princess Royal University Hospital, King’s College Hospital NHS Foundation Trust, London, UK.</w:t>
      </w:r>
    </w:p>
    <w:p w14:paraId="77A1D4AB" w14:textId="1E450FBC" w:rsidR="000B533D" w:rsidRDefault="000B533D">
      <w:pPr>
        <w:rPr>
          <w:rFonts w:ascii="Arial"/>
          <w:sz w:val="20"/>
          <w:szCs w:val="18"/>
        </w:rPr>
      </w:pPr>
    </w:p>
    <w:p w14:paraId="5D6B5F04" w14:textId="1290C507" w:rsidR="000B533D" w:rsidRDefault="009C018F" w:rsidP="009C018F">
      <w:pPr>
        <w:tabs>
          <w:tab w:val="left" w:pos="4397"/>
        </w:tabs>
        <w:rPr>
          <w:rFonts w:ascii="Arial"/>
          <w:sz w:val="20"/>
          <w:szCs w:val="18"/>
        </w:rPr>
      </w:pPr>
      <w:r>
        <w:rPr>
          <w:rFonts w:ascii="Arial"/>
          <w:sz w:val="20"/>
          <w:szCs w:val="18"/>
        </w:rPr>
        <w:tab/>
      </w:r>
    </w:p>
    <w:p w14:paraId="7B28F64A" w14:textId="17B6B09D" w:rsidR="000B533D" w:rsidRDefault="000B533D">
      <w:pPr>
        <w:rPr>
          <w:color w:val="BF5A14"/>
        </w:rPr>
      </w:pPr>
      <w:r>
        <w:rPr>
          <w:color w:val="BF5A14"/>
        </w:rPr>
        <w:t>Abstr</w:t>
      </w:r>
      <w:r w:rsidR="00795891">
        <w:rPr>
          <w:color w:val="BF5A14"/>
        </w:rPr>
        <w:t>act</w:t>
      </w:r>
    </w:p>
    <w:p w14:paraId="6D262AE8" w14:textId="77777777" w:rsidR="00D45609" w:rsidRDefault="00D45609">
      <w:pPr>
        <w:rPr>
          <w:color w:val="BF5A14"/>
        </w:rPr>
      </w:pPr>
    </w:p>
    <w:p w14:paraId="6C48EE0E" w14:textId="77777777" w:rsidR="00D45609" w:rsidRDefault="00D45609">
      <w:pPr>
        <w:rPr>
          <w:rFonts w:ascii="Arial"/>
          <w:sz w:val="21"/>
        </w:rPr>
        <w:sectPr w:rsidR="00D45609" w:rsidSect="0043389A">
          <w:headerReference w:type="default" r:id="rId7"/>
          <w:footerReference w:type="default" r:id="rId8"/>
          <w:type w:val="continuous"/>
          <w:pgSz w:w="11910" w:h="16840"/>
          <w:pgMar w:top="1361" w:right="601" w:bottom="839" w:left="618" w:header="170" w:footer="170" w:gutter="0"/>
          <w:cols w:space="720"/>
          <w:docGrid w:linePitch="299"/>
        </w:sectPr>
      </w:pPr>
    </w:p>
    <w:p w14:paraId="085F8000" w14:textId="748C1F55" w:rsidR="009C018F" w:rsidRPr="009C018F" w:rsidRDefault="009C018F" w:rsidP="00D45609">
      <w:pPr>
        <w:jc w:val="both"/>
        <w:rPr>
          <w:b/>
          <w:sz w:val="18"/>
          <w:szCs w:val="18"/>
          <w:lang w:val="en-GB"/>
        </w:rPr>
      </w:pPr>
      <w:r w:rsidRPr="009C018F">
        <w:rPr>
          <w:b/>
          <w:sz w:val="18"/>
          <w:szCs w:val="18"/>
          <w:lang w:val="en-GB"/>
        </w:rPr>
        <w:lastRenderedPageBreak/>
        <w:t>Background</w:t>
      </w:r>
    </w:p>
    <w:p w14:paraId="52BE3799" w14:textId="2823C1E2" w:rsidR="009C018F" w:rsidRPr="009C018F" w:rsidRDefault="009C018F" w:rsidP="00D45609">
      <w:pPr>
        <w:jc w:val="both"/>
        <w:rPr>
          <w:sz w:val="18"/>
          <w:szCs w:val="18"/>
          <w:lang w:val="en-GB"/>
        </w:rPr>
      </w:pPr>
      <w:r w:rsidRPr="009C018F">
        <w:rPr>
          <w:sz w:val="18"/>
          <w:szCs w:val="18"/>
          <w:lang w:val="en-GB"/>
        </w:rPr>
        <w:t>Vitamin D deficiency is a significant problem especially in the older population. Studies implicate its role in immunomodulation, cardiovascular disease, cancer and bone health. Vit</w:t>
      </w:r>
      <w:r w:rsidR="0090104D">
        <w:rPr>
          <w:sz w:val="18"/>
          <w:szCs w:val="18"/>
          <w:lang w:val="en-GB"/>
        </w:rPr>
        <w:t>amin</w:t>
      </w:r>
      <w:r w:rsidRPr="009C018F">
        <w:rPr>
          <w:sz w:val="18"/>
          <w:szCs w:val="18"/>
          <w:lang w:val="en-GB"/>
        </w:rPr>
        <w:t xml:space="preserve"> D deficiency increases risks of falls and osteoporotic fractures impacting on quality of life. An audit of our current practice </w:t>
      </w:r>
      <w:r w:rsidR="006E778F">
        <w:rPr>
          <w:sz w:val="18"/>
          <w:szCs w:val="18"/>
          <w:lang w:val="en-GB"/>
        </w:rPr>
        <w:t xml:space="preserve">showed </w:t>
      </w:r>
      <w:r w:rsidRPr="009C018F">
        <w:rPr>
          <w:sz w:val="18"/>
          <w:szCs w:val="18"/>
          <w:lang w:val="en-GB"/>
        </w:rPr>
        <w:t xml:space="preserve">that a short </w:t>
      </w:r>
      <w:r w:rsidR="00795891">
        <w:rPr>
          <w:sz w:val="18"/>
          <w:szCs w:val="18"/>
          <w:lang w:val="en-GB"/>
        </w:rPr>
        <w:t>two-</w:t>
      </w:r>
      <w:r w:rsidR="006E778F">
        <w:rPr>
          <w:sz w:val="18"/>
          <w:szCs w:val="18"/>
          <w:lang w:val="en-GB"/>
        </w:rPr>
        <w:t xml:space="preserve">week </w:t>
      </w:r>
      <w:r w:rsidR="0090104D">
        <w:rPr>
          <w:sz w:val="18"/>
          <w:szCs w:val="18"/>
          <w:lang w:val="en-GB"/>
        </w:rPr>
        <w:t>course of v</w:t>
      </w:r>
      <w:r w:rsidRPr="009C018F">
        <w:rPr>
          <w:sz w:val="18"/>
          <w:szCs w:val="18"/>
          <w:lang w:val="en-GB"/>
        </w:rPr>
        <w:t>it</w:t>
      </w:r>
      <w:r w:rsidR="0090104D">
        <w:rPr>
          <w:sz w:val="18"/>
          <w:szCs w:val="18"/>
          <w:lang w:val="en-GB"/>
        </w:rPr>
        <w:t>amin</w:t>
      </w:r>
      <w:r w:rsidRPr="009C018F">
        <w:rPr>
          <w:sz w:val="18"/>
          <w:szCs w:val="18"/>
          <w:lang w:val="en-GB"/>
        </w:rPr>
        <w:t xml:space="preserve"> D replacement is convenient and effective</w:t>
      </w:r>
      <w:r w:rsidR="002863E6">
        <w:rPr>
          <w:sz w:val="18"/>
          <w:szCs w:val="18"/>
          <w:lang w:val="en-GB"/>
        </w:rPr>
        <w:t xml:space="preserve"> </w:t>
      </w:r>
      <w:r w:rsidR="00C55EE3" w:rsidRPr="002863E6">
        <w:rPr>
          <w:sz w:val="18"/>
          <w:szCs w:val="18"/>
          <w:vertAlign w:val="superscript"/>
          <w:lang w:val="en-GB"/>
        </w:rPr>
        <w:t>[</w:t>
      </w:r>
      <w:r w:rsidR="00795891" w:rsidRPr="002863E6">
        <w:rPr>
          <w:sz w:val="18"/>
          <w:szCs w:val="18"/>
          <w:vertAlign w:val="superscript"/>
          <w:lang w:val="en-GB"/>
        </w:rPr>
        <w:t>1</w:t>
      </w:r>
      <w:r w:rsidR="00C55EE3" w:rsidRPr="002863E6">
        <w:rPr>
          <w:sz w:val="18"/>
          <w:szCs w:val="18"/>
          <w:vertAlign w:val="superscript"/>
          <w:lang w:val="en-GB"/>
        </w:rPr>
        <w:t>]</w:t>
      </w:r>
      <w:r w:rsidRPr="009C018F">
        <w:rPr>
          <w:sz w:val="18"/>
          <w:szCs w:val="18"/>
          <w:lang w:val="en-GB"/>
        </w:rPr>
        <w:t>. However, i</w:t>
      </w:r>
      <w:r w:rsidR="0090104D">
        <w:rPr>
          <w:sz w:val="18"/>
          <w:szCs w:val="18"/>
          <w:lang w:val="en-GB"/>
        </w:rPr>
        <w:t>n those with severely depleted v</w:t>
      </w:r>
      <w:r w:rsidRPr="009C018F">
        <w:rPr>
          <w:sz w:val="18"/>
          <w:szCs w:val="18"/>
          <w:lang w:val="en-GB"/>
        </w:rPr>
        <w:t>it</w:t>
      </w:r>
      <w:r w:rsidR="0090104D">
        <w:rPr>
          <w:sz w:val="18"/>
          <w:szCs w:val="18"/>
          <w:lang w:val="en-GB"/>
        </w:rPr>
        <w:t>amin</w:t>
      </w:r>
      <w:r w:rsidRPr="009C018F">
        <w:rPr>
          <w:sz w:val="18"/>
          <w:szCs w:val="18"/>
          <w:lang w:val="en-GB"/>
        </w:rPr>
        <w:t xml:space="preserve"> D sto</w:t>
      </w:r>
      <w:r w:rsidR="0090104D">
        <w:rPr>
          <w:sz w:val="18"/>
          <w:szCs w:val="18"/>
          <w:lang w:val="en-GB"/>
        </w:rPr>
        <w:t>res a longer period of intense v</w:t>
      </w:r>
      <w:r w:rsidRPr="009C018F">
        <w:rPr>
          <w:sz w:val="18"/>
          <w:szCs w:val="18"/>
          <w:lang w:val="en-GB"/>
        </w:rPr>
        <w:t>it</w:t>
      </w:r>
      <w:r w:rsidR="0090104D">
        <w:rPr>
          <w:sz w:val="18"/>
          <w:szCs w:val="18"/>
          <w:lang w:val="en-GB"/>
        </w:rPr>
        <w:t>amin</w:t>
      </w:r>
      <w:r w:rsidRPr="009C018F">
        <w:rPr>
          <w:sz w:val="18"/>
          <w:szCs w:val="18"/>
          <w:lang w:val="en-GB"/>
        </w:rPr>
        <w:t xml:space="preserve"> D replacement maybe required.</w:t>
      </w:r>
      <w:r w:rsidR="00C55EE3">
        <w:rPr>
          <w:sz w:val="18"/>
          <w:szCs w:val="18"/>
          <w:lang w:val="en-GB"/>
        </w:rPr>
        <w:t xml:space="preserve"> We</w:t>
      </w:r>
      <w:r w:rsidR="00795891">
        <w:rPr>
          <w:sz w:val="18"/>
          <w:szCs w:val="18"/>
          <w:lang w:val="en-GB"/>
        </w:rPr>
        <w:t xml:space="preserve"> re-audited our results with a</w:t>
      </w:r>
      <w:r w:rsidR="002863E6">
        <w:rPr>
          <w:sz w:val="18"/>
          <w:szCs w:val="18"/>
          <w:lang w:val="en-GB"/>
        </w:rPr>
        <w:t>n</w:t>
      </w:r>
      <w:r w:rsidR="00795891">
        <w:rPr>
          <w:sz w:val="18"/>
          <w:szCs w:val="18"/>
          <w:lang w:val="en-GB"/>
        </w:rPr>
        <w:t xml:space="preserve"> increased</w:t>
      </w:r>
      <w:r w:rsidR="00C55EE3">
        <w:rPr>
          <w:sz w:val="18"/>
          <w:szCs w:val="18"/>
          <w:lang w:val="en-GB"/>
        </w:rPr>
        <w:t xml:space="preserve"> length of treatment </w:t>
      </w:r>
      <w:r w:rsidR="00795891">
        <w:rPr>
          <w:sz w:val="18"/>
          <w:szCs w:val="18"/>
          <w:lang w:val="en-GB"/>
        </w:rPr>
        <w:t>of</w:t>
      </w:r>
      <w:r w:rsidR="00C55EE3">
        <w:rPr>
          <w:sz w:val="18"/>
          <w:szCs w:val="18"/>
          <w:lang w:val="en-GB"/>
        </w:rPr>
        <w:t xml:space="preserve"> </w:t>
      </w:r>
      <w:r w:rsidR="00795891">
        <w:rPr>
          <w:sz w:val="18"/>
          <w:szCs w:val="18"/>
          <w:lang w:val="en-GB"/>
        </w:rPr>
        <w:t>three-</w:t>
      </w:r>
      <w:r w:rsidR="00C55EE3">
        <w:rPr>
          <w:sz w:val="18"/>
          <w:szCs w:val="18"/>
          <w:lang w:val="en-GB"/>
        </w:rPr>
        <w:t>weeks.</w:t>
      </w:r>
    </w:p>
    <w:p w14:paraId="1A18DE70" w14:textId="383BBC9E" w:rsidR="009C018F" w:rsidRDefault="009C018F" w:rsidP="00D45609">
      <w:pPr>
        <w:jc w:val="both"/>
        <w:rPr>
          <w:sz w:val="18"/>
          <w:szCs w:val="18"/>
          <w:lang w:val="en-GB"/>
        </w:rPr>
      </w:pPr>
    </w:p>
    <w:p w14:paraId="2E85FCAA" w14:textId="77777777" w:rsidR="009C018F" w:rsidRPr="009C018F" w:rsidRDefault="009C018F" w:rsidP="00D45609">
      <w:pPr>
        <w:jc w:val="both"/>
        <w:rPr>
          <w:b/>
          <w:sz w:val="18"/>
          <w:szCs w:val="18"/>
          <w:lang w:val="en-GB"/>
        </w:rPr>
      </w:pPr>
      <w:r w:rsidRPr="009C018F">
        <w:rPr>
          <w:b/>
          <w:sz w:val="18"/>
          <w:szCs w:val="18"/>
          <w:lang w:val="en-GB"/>
        </w:rPr>
        <w:t>Methods</w:t>
      </w:r>
    </w:p>
    <w:p w14:paraId="653AE00B" w14:textId="13903D63" w:rsidR="009C018F" w:rsidRPr="009C018F" w:rsidRDefault="009C018F" w:rsidP="00D45609">
      <w:pPr>
        <w:jc w:val="both"/>
        <w:rPr>
          <w:sz w:val="18"/>
          <w:szCs w:val="18"/>
          <w:lang w:val="en-GB"/>
        </w:rPr>
      </w:pPr>
      <w:r w:rsidRPr="009C018F">
        <w:rPr>
          <w:sz w:val="18"/>
          <w:szCs w:val="18"/>
          <w:lang w:val="en-GB"/>
        </w:rPr>
        <w:t xml:space="preserve">Elderly </w:t>
      </w:r>
      <w:r w:rsidR="0090104D">
        <w:rPr>
          <w:sz w:val="18"/>
          <w:szCs w:val="18"/>
          <w:lang w:val="en-GB"/>
        </w:rPr>
        <w:t>patients &gt;65 years with severe v</w:t>
      </w:r>
      <w:r w:rsidRPr="009C018F">
        <w:rPr>
          <w:sz w:val="18"/>
          <w:szCs w:val="18"/>
          <w:lang w:val="en-GB"/>
        </w:rPr>
        <w:t>it</w:t>
      </w:r>
      <w:r w:rsidR="0090104D">
        <w:rPr>
          <w:sz w:val="18"/>
          <w:szCs w:val="18"/>
          <w:lang w:val="en-GB"/>
        </w:rPr>
        <w:t>amin</w:t>
      </w:r>
      <w:r w:rsidRPr="009C018F">
        <w:rPr>
          <w:sz w:val="18"/>
          <w:szCs w:val="18"/>
          <w:lang w:val="en-GB"/>
        </w:rPr>
        <w:t xml:space="preserve"> D deficiency (&lt;20nmol/L) attending Princess Royal University Hospital were prescribed a three-week course of ergocalciferol 50,000 IU/day, followed by dai</w:t>
      </w:r>
      <w:r w:rsidR="0090104D">
        <w:rPr>
          <w:sz w:val="18"/>
          <w:szCs w:val="18"/>
          <w:lang w:val="en-GB"/>
        </w:rPr>
        <w:t>ly maintenance dose of calcium/v</w:t>
      </w:r>
      <w:r w:rsidRPr="009C018F">
        <w:rPr>
          <w:sz w:val="18"/>
          <w:szCs w:val="18"/>
          <w:lang w:val="en-GB"/>
        </w:rPr>
        <w:t>it</w:t>
      </w:r>
      <w:r w:rsidR="0090104D">
        <w:rPr>
          <w:sz w:val="18"/>
          <w:szCs w:val="18"/>
          <w:lang w:val="en-GB"/>
        </w:rPr>
        <w:t>amin D (1.5mg/400IU). Baseline v</w:t>
      </w:r>
      <w:r w:rsidRPr="009C018F">
        <w:rPr>
          <w:sz w:val="18"/>
          <w:szCs w:val="18"/>
          <w:lang w:val="en-GB"/>
        </w:rPr>
        <w:t>it</w:t>
      </w:r>
      <w:r w:rsidR="0090104D">
        <w:rPr>
          <w:sz w:val="18"/>
          <w:szCs w:val="18"/>
          <w:lang w:val="en-GB"/>
        </w:rPr>
        <w:t>amin</w:t>
      </w:r>
      <w:r w:rsidRPr="009C018F">
        <w:rPr>
          <w:sz w:val="18"/>
          <w:szCs w:val="18"/>
          <w:lang w:val="en-GB"/>
        </w:rPr>
        <w:t xml:space="preserve"> D and renal functions were taken and rechecked at least 4 weeks after start of treatment. Patients with stage 4 chronic kidney disease were excluded.</w:t>
      </w:r>
    </w:p>
    <w:p w14:paraId="1EB2017B" w14:textId="77777777" w:rsidR="009C018F" w:rsidRPr="009C018F" w:rsidRDefault="009C018F" w:rsidP="00D45609">
      <w:pPr>
        <w:ind w:left="720"/>
        <w:jc w:val="both"/>
        <w:rPr>
          <w:sz w:val="18"/>
          <w:szCs w:val="18"/>
          <w:lang w:val="en-GB"/>
        </w:rPr>
      </w:pPr>
    </w:p>
    <w:p w14:paraId="511351A0" w14:textId="77777777" w:rsidR="009C018F" w:rsidRDefault="009C018F" w:rsidP="00D45609">
      <w:pPr>
        <w:jc w:val="both"/>
        <w:rPr>
          <w:b/>
          <w:sz w:val="18"/>
          <w:szCs w:val="18"/>
          <w:lang w:val="en-GB"/>
        </w:rPr>
      </w:pPr>
      <w:r w:rsidRPr="009C018F">
        <w:rPr>
          <w:b/>
          <w:sz w:val="18"/>
          <w:szCs w:val="18"/>
          <w:lang w:val="en-GB"/>
        </w:rPr>
        <w:t>Results</w:t>
      </w:r>
    </w:p>
    <w:p w14:paraId="34C075D3" w14:textId="4B4A219D" w:rsidR="009C018F" w:rsidRPr="009C018F" w:rsidRDefault="009C018F" w:rsidP="00D45609">
      <w:pPr>
        <w:jc w:val="both"/>
        <w:rPr>
          <w:b/>
          <w:sz w:val="18"/>
          <w:szCs w:val="18"/>
          <w:lang w:val="en-GB"/>
        </w:rPr>
      </w:pPr>
      <w:r w:rsidRPr="009C018F">
        <w:rPr>
          <w:sz w:val="18"/>
          <w:szCs w:val="18"/>
          <w:lang w:val="en-GB"/>
        </w:rPr>
        <w:t>In total 58 patients were included, with 34 complete sets of data</w:t>
      </w:r>
      <w:r w:rsidR="00795891">
        <w:rPr>
          <w:sz w:val="18"/>
          <w:szCs w:val="18"/>
          <w:lang w:val="en-GB"/>
        </w:rPr>
        <w:t xml:space="preserve">, </w:t>
      </w:r>
      <w:r w:rsidRPr="009C018F">
        <w:rPr>
          <w:sz w:val="18"/>
          <w:szCs w:val="18"/>
          <w:lang w:val="en-GB"/>
        </w:rPr>
        <w:t>24 were lost to follow up. The average age was 83 years with 62% fem</w:t>
      </w:r>
      <w:r w:rsidR="0090104D">
        <w:rPr>
          <w:sz w:val="18"/>
          <w:szCs w:val="18"/>
          <w:lang w:val="en-GB"/>
        </w:rPr>
        <w:t>ales. The median pre-treatment v</w:t>
      </w:r>
      <w:r w:rsidRPr="009C018F">
        <w:rPr>
          <w:sz w:val="18"/>
          <w:szCs w:val="18"/>
          <w:lang w:val="en-GB"/>
        </w:rPr>
        <w:t>it</w:t>
      </w:r>
      <w:r w:rsidR="0090104D">
        <w:rPr>
          <w:sz w:val="18"/>
          <w:szCs w:val="18"/>
          <w:lang w:val="en-GB"/>
        </w:rPr>
        <w:t>amin</w:t>
      </w:r>
      <w:r w:rsidRPr="009C018F">
        <w:rPr>
          <w:sz w:val="18"/>
          <w:szCs w:val="18"/>
          <w:lang w:val="en-GB"/>
        </w:rPr>
        <w:t xml:space="preserve"> D level was 10.5 nmol/L </w:t>
      </w:r>
      <w:r w:rsidR="00E254B9">
        <w:rPr>
          <w:sz w:val="18"/>
          <w:szCs w:val="18"/>
          <w:lang w:val="en-GB"/>
        </w:rPr>
        <w:t>with</w:t>
      </w:r>
      <w:r w:rsidRPr="009C018F">
        <w:rPr>
          <w:sz w:val="18"/>
          <w:szCs w:val="18"/>
          <w:lang w:val="en-GB"/>
        </w:rPr>
        <w:t xml:space="preserve"> eGFR 64mL/min. Following three weeks treatment all patien</w:t>
      </w:r>
      <w:r w:rsidR="0090104D">
        <w:rPr>
          <w:sz w:val="18"/>
          <w:szCs w:val="18"/>
          <w:lang w:val="en-GB"/>
        </w:rPr>
        <w:t>ts showed improvement in serum v</w:t>
      </w:r>
      <w:r w:rsidRPr="009C018F">
        <w:rPr>
          <w:sz w:val="18"/>
          <w:szCs w:val="18"/>
          <w:lang w:val="en-GB"/>
        </w:rPr>
        <w:t>it</w:t>
      </w:r>
      <w:r w:rsidR="0090104D">
        <w:rPr>
          <w:sz w:val="18"/>
          <w:szCs w:val="18"/>
          <w:lang w:val="en-GB"/>
        </w:rPr>
        <w:t>amin</w:t>
      </w:r>
      <w:r w:rsidRPr="009C018F">
        <w:rPr>
          <w:sz w:val="18"/>
          <w:szCs w:val="18"/>
          <w:lang w:val="en-GB"/>
        </w:rPr>
        <w:t xml:space="preserve"> D level with 68% reaching normal (&gt;80</w:t>
      </w:r>
      <w:r>
        <w:rPr>
          <w:sz w:val="18"/>
          <w:szCs w:val="18"/>
          <w:lang w:val="en-GB"/>
        </w:rPr>
        <w:t>nmol/L</w:t>
      </w:r>
      <w:r w:rsidR="0090104D">
        <w:rPr>
          <w:sz w:val="18"/>
          <w:szCs w:val="18"/>
          <w:lang w:val="en-GB"/>
        </w:rPr>
        <w:t>) v</w:t>
      </w:r>
      <w:r w:rsidRPr="009C018F">
        <w:rPr>
          <w:sz w:val="18"/>
          <w:szCs w:val="18"/>
          <w:lang w:val="en-GB"/>
        </w:rPr>
        <w:t>it</w:t>
      </w:r>
      <w:r w:rsidR="0090104D">
        <w:rPr>
          <w:sz w:val="18"/>
          <w:szCs w:val="18"/>
          <w:lang w:val="en-GB"/>
        </w:rPr>
        <w:t>amin</w:t>
      </w:r>
      <w:r w:rsidRPr="009C018F">
        <w:rPr>
          <w:sz w:val="18"/>
          <w:szCs w:val="18"/>
          <w:lang w:val="en-GB"/>
        </w:rPr>
        <w:t xml:space="preserve"> D levels, and the remainder 32% improving to levels within the insufficiency range (40 – 80 nmol/L</w:t>
      </w:r>
      <w:r>
        <w:rPr>
          <w:sz w:val="18"/>
          <w:szCs w:val="18"/>
          <w:lang w:val="en-GB"/>
        </w:rPr>
        <w:t>),</w:t>
      </w:r>
      <w:r w:rsidRPr="009C018F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 xml:space="preserve">Figure 1. </w:t>
      </w:r>
      <w:r w:rsidRPr="009C018F">
        <w:rPr>
          <w:sz w:val="18"/>
          <w:szCs w:val="18"/>
          <w:lang w:val="en-GB"/>
        </w:rPr>
        <w:t>Importantly all patients (100%) reached vit</w:t>
      </w:r>
      <w:r w:rsidR="0090104D">
        <w:rPr>
          <w:sz w:val="18"/>
          <w:szCs w:val="18"/>
          <w:lang w:val="en-GB"/>
        </w:rPr>
        <w:t>amin</w:t>
      </w:r>
      <w:r w:rsidR="006E778F">
        <w:rPr>
          <w:sz w:val="18"/>
          <w:szCs w:val="18"/>
          <w:lang w:val="en-GB"/>
        </w:rPr>
        <w:t xml:space="preserve"> </w:t>
      </w:r>
      <w:r w:rsidRPr="009C018F">
        <w:rPr>
          <w:sz w:val="18"/>
          <w:szCs w:val="18"/>
          <w:lang w:val="en-GB"/>
        </w:rPr>
        <w:t>D levels above deficiency (&gt;40). The median change was 956%. No side effects</w:t>
      </w:r>
      <w:r w:rsidR="00AD3F8B">
        <w:rPr>
          <w:sz w:val="18"/>
          <w:szCs w:val="18"/>
          <w:lang w:val="en-GB"/>
        </w:rPr>
        <w:t xml:space="preserve"> or toxicity</w:t>
      </w:r>
      <w:r w:rsidRPr="009C018F">
        <w:rPr>
          <w:sz w:val="18"/>
          <w:szCs w:val="18"/>
          <w:lang w:val="en-GB"/>
        </w:rPr>
        <w:t xml:space="preserve"> were reported. </w:t>
      </w:r>
    </w:p>
    <w:p w14:paraId="4C378EBC" w14:textId="77777777" w:rsidR="009C018F" w:rsidRDefault="009C018F" w:rsidP="00D45609">
      <w:pPr>
        <w:jc w:val="both"/>
        <w:rPr>
          <w:sz w:val="18"/>
          <w:szCs w:val="18"/>
          <w:lang w:val="en-GB"/>
        </w:rPr>
      </w:pPr>
    </w:p>
    <w:p w14:paraId="5D38AF1D" w14:textId="77777777" w:rsidR="009C018F" w:rsidRPr="009C018F" w:rsidRDefault="009C018F" w:rsidP="00D45609">
      <w:pPr>
        <w:jc w:val="both"/>
        <w:rPr>
          <w:b/>
          <w:sz w:val="18"/>
          <w:szCs w:val="18"/>
          <w:lang w:val="en-GB"/>
        </w:rPr>
      </w:pPr>
      <w:r w:rsidRPr="009C018F">
        <w:rPr>
          <w:b/>
          <w:sz w:val="18"/>
          <w:szCs w:val="18"/>
          <w:lang w:val="en-GB"/>
        </w:rPr>
        <w:t>Conclusions</w:t>
      </w:r>
    </w:p>
    <w:p w14:paraId="23C3F605" w14:textId="74776565" w:rsidR="002863E6" w:rsidRDefault="009C018F" w:rsidP="00D45609">
      <w:pPr>
        <w:jc w:val="both"/>
        <w:rPr>
          <w:lang w:val="en-GB"/>
        </w:rPr>
      </w:pPr>
      <w:r w:rsidRPr="009C018F">
        <w:rPr>
          <w:sz w:val="18"/>
          <w:szCs w:val="18"/>
          <w:lang w:val="en-GB"/>
        </w:rPr>
        <w:t>An intense three-week course of ergocalciferol appears to be a safe and eff</w:t>
      </w:r>
      <w:r w:rsidR="0090104D">
        <w:rPr>
          <w:sz w:val="18"/>
          <w:szCs w:val="18"/>
          <w:lang w:val="en-GB"/>
        </w:rPr>
        <w:t>ective way of replacing severe v</w:t>
      </w:r>
      <w:r w:rsidRPr="009C018F">
        <w:rPr>
          <w:sz w:val="18"/>
          <w:szCs w:val="18"/>
          <w:lang w:val="en-GB"/>
        </w:rPr>
        <w:t>it</w:t>
      </w:r>
      <w:r w:rsidR="0090104D">
        <w:rPr>
          <w:sz w:val="18"/>
          <w:szCs w:val="18"/>
          <w:lang w:val="en-GB"/>
        </w:rPr>
        <w:t>amin</w:t>
      </w:r>
      <w:r w:rsidRPr="009C018F">
        <w:rPr>
          <w:sz w:val="18"/>
          <w:szCs w:val="18"/>
          <w:lang w:val="en-GB"/>
        </w:rPr>
        <w:t xml:space="preserve"> D deficiency </w:t>
      </w:r>
      <w:r w:rsidR="00795891">
        <w:rPr>
          <w:sz w:val="18"/>
          <w:szCs w:val="18"/>
          <w:lang w:val="en-GB"/>
        </w:rPr>
        <w:t xml:space="preserve">which </w:t>
      </w:r>
      <w:r w:rsidR="00C55EE3">
        <w:rPr>
          <w:sz w:val="18"/>
          <w:szCs w:val="18"/>
          <w:lang w:val="en-GB"/>
        </w:rPr>
        <w:t xml:space="preserve">is in contrast to the current guidelines. </w:t>
      </w:r>
      <w:r w:rsidR="00795891">
        <w:rPr>
          <w:sz w:val="18"/>
          <w:szCs w:val="18"/>
          <w:lang w:val="en-GB"/>
        </w:rPr>
        <w:t>A s</w:t>
      </w:r>
      <w:r w:rsidRPr="009C018F">
        <w:rPr>
          <w:sz w:val="18"/>
          <w:szCs w:val="18"/>
          <w:lang w:val="en-GB"/>
        </w:rPr>
        <w:t>horter duration of treatment should improve compliance and allow the benefits of treatment to be gained quicker.</w:t>
      </w:r>
      <w:r>
        <w:rPr>
          <w:lang w:val="en-GB"/>
        </w:rPr>
        <w:t xml:space="preserve"> </w:t>
      </w:r>
    </w:p>
    <w:p w14:paraId="3CCB7649" w14:textId="77777777" w:rsidR="002863E6" w:rsidRDefault="002863E6" w:rsidP="002863E6">
      <w:pPr>
        <w:rPr>
          <w:lang w:val="en-GB"/>
        </w:rPr>
      </w:pPr>
    </w:p>
    <w:p w14:paraId="748C305B" w14:textId="304A5974" w:rsidR="00AE3E37" w:rsidRPr="002863E6" w:rsidRDefault="002863E6" w:rsidP="002863E6">
      <w:pPr>
        <w:rPr>
          <w:lang w:val="en-GB"/>
        </w:rPr>
      </w:pPr>
      <w:r w:rsidRPr="006E4557">
        <w:rPr>
          <w:color w:val="000000" w:themeColor="text1"/>
          <w:sz w:val="16"/>
          <w:szCs w:val="16"/>
          <w:lang w:val="en-GB"/>
        </w:rPr>
        <w:t>[1]</w:t>
      </w:r>
      <w:r w:rsidR="00D124E8" w:rsidRPr="006E4557">
        <w:rPr>
          <w:rFonts w:cs="Times New Roman"/>
          <w:color w:val="000000" w:themeColor="text1"/>
          <w:sz w:val="16"/>
          <w:szCs w:val="16"/>
          <w:lang w:val="en-GB"/>
        </w:rPr>
        <w:t xml:space="preserve"> </w:t>
      </w:r>
      <w:r w:rsidR="00D124E8" w:rsidRPr="006E4557">
        <w:rPr>
          <w:rFonts w:eastAsia="Times New Roman" w:cs="Times New Roman"/>
          <w:color w:val="000000" w:themeColor="text1"/>
          <w:sz w:val="16"/>
          <w:szCs w:val="16"/>
          <w:lang w:val="en-GB" w:eastAsia="en-GB"/>
        </w:rPr>
        <w:t xml:space="preserve">A Abdulla; A Garland; J Davies </w:t>
      </w:r>
      <w:r w:rsidR="00D124E8" w:rsidRPr="006E4557">
        <w:rPr>
          <w:rFonts w:eastAsia="Times New Roman" w:cs="Times New Roman"/>
          <w:color w:val="000000" w:themeColor="text1"/>
          <w:kern w:val="36"/>
          <w:sz w:val="16"/>
          <w:szCs w:val="16"/>
          <w:lang w:val="en-GB" w:eastAsia="en-GB"/>
        </w:rPr>
        <w:t>SIMPLE, EFFECTIVE AND CONVENIENT REGIME FOR TREATMENT OF VITAMIN D DEFICIENCY IN OLDER PEOPLE.</w:t>
      </w:r>
      <w:r w:rsidR="00D124E8" w:rsidRPr="006E4557">
        <w:rPr>
          <w:rFonts w:eastAsia="Times New Roman"/>
          <w:color w:val="000000" w:themeColor="text1"/>
          <w:sz w:val="16"/>
          <w:szCs w:val="16"/>
          <w:lang w:val="en-GB" w:eastAsia="en-GB"/>
        </w:rPr>
        <w:t xml:space="preserve"> </w:t>
      </w:r>
      <w:r w:rsidR="00D124E8" w:rsidRPr="006E4557">
        <w:rPr>
          <w:rFonts w:eastAsia="Times New Roman" w:cs="Times New Roman"/>
          <w:color w:val="000000" w:themeColor="text1"/>
          <w:sz w:val="16"/>
          <w:szCs w:val="16"/>
          <w:lang w:val="en-GB" w:eastAsia="en-GB"/>
        </w:rPr>
        <w:t xml:space="preserve">Age and Ageing. </w:t>
      </w:r>
      <w:r w:rsidR="00D124E8" w:rsidRPr="006E4557">
        <w:rPr>
          <w:rFonts w:eastAsia="Times New Roman"/>
          <w:color w:val="000000" w:themeColor="text1"/>
          <w:sz w:val="16"/>
          <w:szCs w:val="16"/>
          <w:lang w:val="en-GB" w:eastAsia="en-GB"/>
        </w:rPr>
        <w:t xml:space="preserve"> </w:t>
      </w:r>
      <w:r w:rsidR="00D124E8" w:rsidRPr="006E4557">
        <w:rPr>
          <w:rFonts w:eastAsia="Times New Roman" w:cs="Times New Roman"/>
          <w:color w:val="000000" w:themeColor="text1"/>
          <w:sz w:val="16"/>
          <w:szCs w:val="16"/>
          <w:lang w:val="en-GB" w:eastAsia="en-GB"/>
        </w:rPr>
        <w:t>46(suppl_2</w:t>
      </w:r>
      <w:r w:rsidR="00C66E9B" w:rsidRPr="006E4557">
        <w:rPr>
          <w:rFonts w:eastAsia="Times New Roman" w:cs="Times New Roman"/>
          <w:color w:val="000000" w:themeColor="text1"/>
          <w:sz w:val="16"/>
          <w:szCs w:val="16"/>
          <w:lang w:val="en-GB" w:eastAsia="en-GB"/>
        </w:rPr>
        <w:t>): ii</w:t>
      </w:r>
      <w:r w:rsidR="00D124E8" w:rsidRPr="006E4557">
        <w:rPr>
          <w:rFonts w:eastAsia="Times New Roman" w:cs="Times New Roman"/>
          <w:color w:val="000000" w:themeColor="text1"/>
          <w:sz w:val="16"/>
          <w:szCs w:val="16"/>
          <w:lang w:val="en-GB" w:eastAsia="en-GB"/>
        </w:rPr>
        <w:t>1–ii6, JUL 2017 DOI: 10.1093/ageing/afx115.1</w:t>
      </w:r>
      <w:r w:rsidR="00A9710C">
        <w:br w:type="column"/>
      </w:r>
      <w:r w:rsidR="00A9710C">
        <w:rPr>
          <w:color w:val="BF5A14"/>
        </w:rPr>
        <w:lastRenderedPageBreak/>
        <w:t>Image</w:t>
      </w:r>
    </w:p>
    <w:p w14:paraId="412800FB" w14:textId="78A39BAE" w:rsidR="00AE3E37" w:rsidRDefault="00117E3F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986CC1" wp14:editId="78887D7A">
                <wp:simplePos x="0" y="0"/>
                <wp:positionH relativeFrom="column">
                  <wp:posOffset>361315</wp:posOffset>
                </wp:positionH>
                <wp:positionV relativeFrom="paragraph">
                  <wp:posOffset>1197610</wp:posOffset>
                </wp:positionV>
                <wp:extent cx="2863850" cy="0"/>
                <wp:effectExtent l="0" t="0" r="31750" b="254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38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E3CA4D" id="Straight Connector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45pt,94.3pt" to="253.95pt,94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" strokecolor="#00b0f0" strokeweight="1.5pt"/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037B5" wp14:editId="297BBC2A">
                <wp:simplePos x="0" y="0"/>
                <wp:positionH relativeFrom="column">
                  <wp:posOffset>810231</wp:posOffset>
                </wp:positionH>
                <wp:positionV relativeFrom="paragraph">
                  <wp:posOffset>1884680</wp:posOffset>
                </wp:positionV>
                <wp:extent cx="1855470" cy="229235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5470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4DCF8C" w14:textId="40804A8F" w:rsidR="00117E3F" w:rsidRPr="00117E3F" w:rsidRDefault="00117E3F">
                            <w:pPr>
                              <w:rPr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117E3F">
                              <w:rPr>
                                <w:sz w:val="14"/>
                                <w:szCs w:val="14"/>
                                <w:lang w:val="en-GB"/>
                              </w:rPr>
                              <w:t>Figure 1. Pre and post Vit D replacement levels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B037B5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63.8pt;margin-top:148.4pt;width:146.1pt;height:18.0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" filled="f" stroked="f">
                <v:textbox>
                  <w:txbxContent>
                    <w:p w14:paraId="2E4DCF8C" w14:textId="40804A8F" w:rsidR="00117E3F" w:rsidRPr="00117E3F" w:rsidRDefault="00117E3F">
                      <w:pPr>
                        <w:rPr>
                          <w:sz w:val="14"/>
                          <w:szCs w:val="14"/>
                          <w:lang w:val="en-GB"/>
                        </w:rPr>
                      </w:pPr>
                      <w:r w:rsidRPr="00117E3F">
                        <w:rPr>
                          <w:sz w:val="14"/>
                          <w:szCs w:val="14"/>
                          <w:lang w:val="en-GB"/>
                        </w:rPr>
                        <w:t>Figure 1. Pre and post Vit D replacement levels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602EC">
        <w:rPr>
          <w:noProof/>
          <w:lang w:eastAsia="zh-CN"/>
        </w:rPr>
        <w:drawing>
          <wp:inline distT="0" distB="0" distL="0" distR="0" wp14:anchorId="39541CEC" wp14:editId="6A8D0196">
            <wp:extent cx="3366862" cy="1882819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70858C2" w14:textId="2742B4BF" w:rsidR="00117E3F" w:rsidRDefault="00371EC0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451CCDF1" w14:textId="77777777" w:rsidR="00117E3F" w:rsidRDefault="00117E3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9709621" w14:textId="636FE48C" w:rsidR="00AE3E37" w:rsidRDefault="00371EC0" w:rsidP="006E4557">
      <w:pPr>
        <w:spacing w:line="204" w:lineRule="exact"/>
        <w:rPr>
          <w:rFonts w:ascii="Arial"/>
          <w:b/>
          <w:color w:val="BF5A14"/>
          <w:sz w:val="20"/>
          <w14:textFill>
            <w14:solidFill>
              <w14:srgbClr w14:val="BF5A14">
                <w14:alpha w14:val="100000"/>
              </w14:srgbClr>
            </w14:solidFill>
          </w14:textFill>
        </w:rPr>
      </w:pPr>
      <w:r>
        <w:rPr>
          <w:rFonts w:ascii="Arial"/>
          <w:b/>
          <w:color w:val="BF5A14"/>
          <w:sz w:val="20"/>
        </w:rPr>
        <w:t>Recent Publications:</w:t>
      </w:r>
    </w:p>
    <w:p w14:paraId="569FC206" w14:textId="77777777" w:rsidR="006E4557" w:rsidRPr="006E4557" w:rsidRDefault="006E4557" w:rsidP="006E4557">
      <w:pPr>
        <w:spacing w:line="204" w:lineRule="exact"/>
        <w:rPr>
          <w:rFonts w:ascii="Arial"/>
          <w:b/>
          <w:color w:val="BF5A14"/>
          <w:sz w:val="20"/>
          <w14:textFill>
            <w14:solidFill>
              <w14:srgbClr w14:val="BF5A14">
                <w14:alpha w14:val="100000"/>
              </w14:srgbClr>
            </w14:solidFill>
          </w14:textFill>
        </w:rPr>
      </w:pPr>
    </w:p>
    <w:p w14:paraId="08292D30" w14:textId="499171B8" w:rsidR="002863E6" w:rsidRPr="006E4557" w:rsidRDefault="002863E6" w:rsidP="00D45609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inorHAnsi" w:hAnsiTheme="minorHAnsi"/>
          <w:sz w:val="16"/>
          <w:szCs w:val="16"/>
        </w:rPr>
      </w:pPr>
      <w:r w:rsidRPr="006E4557">
        <w:rPr>
          <w:rFonts w:asciiTheme="minorHAnsi" w:hAnsiTheme="minorHAnsi"/>
          <w:sz w:val="16"/>
          <w:szCs w:val="16"/>
        </w:rPr>
        <w:t>Abdulla A, Wright P, Ross L, Gallagher H, Iyasere O, Ma N,</w:t>
      </w:r>
      <w:r w:rsidRPr="006E4557">
        <w:rPr>
          <w:rFonts w:ascii="MS Mincho" w:eastAsia="MS Mincho" w:hAnsi="MS Mincho" w:cs="MS Mincho"/>
          <w:sz w:val="16"/>
          <w:szCs w:val="16"/>
        </w:rPr>
        <w:t> </w:t>
      </w:r>
      <w:r w:rsidRPr="006E4557">
        <w:rPr>
          <w:rFonts w:asciiTheme="minorHAnsi" w:hAnsiTheme="minorHAnsi"/>
          <w:sz w:val="16"/>
          <w:szCs w:val="16"/>
        </w:rPr>
        <w:t xml:space="preserve"> Bartholomew C, Lowton and Brown E. </w:t>
      </w:r>
      <w:r w:rsidRPr="006E4557">
        <w:rPr>
          <w:rFonts w:asciiTheme="minorHAnsi" w:hAnsiTheme="minorHAnsi"/>
          <w:sz w:val="16"/>
          <w:szCs w:val="16"/>
          <w:lang w:val="en-GB"/>
        </w:rPr>
        <w:t xml:space="preserve">(2017). </w:t>
      </w:r>
      <w:r w:rsidRPr="006E4557">
        <w:rPr>
          <w:rFonts w:asciiTheme="minorHAnsi" w:hAnsiTheme="minorHAnsi"/>
          <w:sz w:val="16"/>
          <w:szCs w:val="16"/>
        </w:rPr>
        <w:t xml:space="preserve">Proceedings </w:t>
      </w:r>
      <w:r w:rsidR="00C66E9B" w:rsidRPr="006E4557">
        <w:rPr>
          <w:rFonts w:asciiTheme="minorHAnsi" w:hAnsiTheme="minorHAnsi"/>
          <w:sz w:val="16"/>
          <w:szCs w:val="16"/>
        </w:rPr>
        <w:t>from</w:t>
      </w:r>
      <w:r w:rsidRPr="006E4557">
        <w:rPr>
          <w:rFonts w:asciiTheme="minorHAnsi" w:hAnsiTheme="minorHAnsi"/>
          <w:sz w:val="16"/>
          <w:szCs w:val="16"/>
        </w:rPr>
        <w:t xml:space="preserve"> the Symposium on Kidney Disease in Older People: Royal Society of Medicine, London, January 19, 2017. Gerontology &amp; Geriatric Medicine Volume 3: 1–19</w:t>
      </w:r>
      <w:r w:rsidRPr="006E4557">
        <w:rPr>
          <w:rFonts w:asciiTheme="minorHAnsi" w:eastAsia="MS Mincho" w:hAnsiTheme="minorHAnsi" w:cs="MS Mincho"/>
          <w:sz w:val="16"/>
          <w:szCs w:val="16"/>
        </w:rPr>
        <w:t xml:space="preserve">. </w:t>
      </w:r>
    </w:p>
    <w:p w14:paraId="2EB73586" w14:textId="17C77234" w:rsidR="002863E6" w:rsidRPr="006E4557" w:rsidRDefault="002863E6" w:rsidP="00D45609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inorHAnsi" w:hAnsiTheme="minorHAnsi" w:cstheme="minorBidi"/>
          <w:sz w:val="16"/>
          <w:szCs w:val="16"/>
          <w:lang w:val="en-GB"/>
        </w:rPr>
      </w:pPr>
      <w:r w:rsidRPr="006E4557">
        <w:rPr>
          <w:rFonts w:asciiTheme="minorHAnsi" w:eastAsia="Times New Roman" w:hAnsiTheme="minorHAnsi" w:cs="Tahoma"/>
          <w:color w:val="212121"/>
          <w:sz w:val="16"/>
          <w:szCs w:val="16"/>
        </w:rPr>
        <w:t>Navaratnam A; Ma N; Farrukh M; Abdulla A</w:t>
      </w:r>
      <w:r w:rsidR="000C7A26">
        <w:rPr>
          <w:rFonts w:asciiTheme="minorHAnsi" w:eastAsia="Times New Roman" w:hAnsiTheme="minorHAnsi" w:cs="Tahoma"/>
          <w:color w:val="212121"/>
          <w:sz w:val="16"/>
          <w:szCs w:val="16"/>
        </w:rPr>
        <w:t>,</w:t>
      </w:r>
      <w:r w:rsidRPr="006E4557">
        <w:rPr>
          <w:rFonts w:asciiTheme="minorHAnsi" w:eastAsia="Times New Roman" w:hAnsiTheme="minorHAnsi" w:cs="Tahoma"/>
          <w:color w:val="212121"/>
          <w:sz w:val="16"/>
          <w:szCs w:val="16"/>
        </w:rPr>
        <w:t xml:space="preserve"> (2017 – </w:t>
      </w:r>
      <w:r w:rsidR="00530895">
        <w:rPr>
          <w:rFonts w:asciiTheme="minorHAnsi" w:eastAsia="Times New Roman" w:hAnsiTheme="minorHAnsi" w:cs="Tahoma"/>
          <w:color w:val="212121"/>
          <w:sz w:val="16"/>
          <w:szCs w:val="16"/>
        </w:rPr>
        <w:t>in press</w:t>
      </w:r>
      <w:bookmarkStart w:id="0" w:name="_GoBack"/>
      <w:bookmarkEnd w:id="0"/>
      <w:r w:rsidRPr="006E4557">
        <w:rPr>
          <w:rFonts w:asciiTheme="minorHAnsi" w:eastAsia="Times New Roman" w:hAnsiTheme="minorHAnsi" w:cs="Tahoma"/>
          <w:color w:val="212121"/>
          <w:sz w:val="16"/>
          <w:szCs w:val="16"/>
        </w:rPr>
        <w:t>). Chickenpox: An ageless disease. British Medical Journal, </w:t>
      </w:r>
      <w:hyperlink r:id="rId10" w:tgtFrame="_blank" w:history="1">
        <w:r w:rsidRPr="006E4557">
          <w:rPr>
            <w:rFonts w:asciiTheme="minorHAnsi" w:eastAsia="Times New Roman" w:hAnsiTheme="minorHAnsi" w:cs="Tahoma"/>
            <w:color w:val="0000FF"/>
            <w:sz w:val="16"/>
            <w:szCs w:val="16"/>
            <w:u w:val="single"/>
          </w:rPr>
          <w:t>http://casereports.bmj.com/</w:t>
        </w:r>
      </w:hyperlink>
    </w:p>
    <w:p w14:paraId="7F9CCE71" w14:textId="098A75DC" w:rsidR="00F106CC" w:rsidRDefault="002863E6" w:rsidP="00F106CC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inorHAnsi" w:eastAsia="Times New Roman" w:hAnsiTheme="minorHAnsi" w:cs="Arial"/>
          <w:color w:val="666666"/>
          <w:sz w:val="16"/>
          <w:szCs w:val="16"/>
        </w:rPr>
      </w:pPr>
      <w:r w:rsidRPr="006E4557">
        <w:rPr>
          <w:rFonts w:asciiTheme="minorHAnsi" w:eastAsia="Times New Roman" w:hAnsiTheme="minorHAnsi" w:cs="Arial"/>
          <w:iCs/>
          <w:color w:val="000000" w:themeColor="text1"/>
          <w:sz w:val="16"/>
          <w:szCs w:val="16"/>
        </w:rPr>
        <w:t>Ma N and Abdulla A, (2017)</w:t>
      </w:r>
      <w:r w:rsidR="000C7A26">
        <w:rPr>
          <w:rFonts w:asciiTheme="minorHAnsi" w:eastAsia="Times New Roman" w:hAnsiTheme="minorHAnsi" w:cs="Arial"/>
          <w:iCs/>
          <w:color w:val="000000" w:themeColor="text1"/>
          <w:sz w:val="16"/>
          <w:szCs w:val="16"/>
        </w:rPr>
        <w:t>.</w:t>
      </w:r>
      <w:r w:rsidRPr="006E4557">
        <w:rPr>
          <w:rFonts w:asciiTheme="minorHAnsi" w:eastAsia="Times New Roman" w:hAnsiTheme="minorHAnsi" w:cs="Arial"/>
          <w:iCs/>
          <w:color w:val="000000" w:themeColor="text1"/>
          <w:sz w:val="16"/>
          <w:szCs w:val="16"/>
        </w:rPr>
        <w:t xml:space="preserve"> A New Holistic Approach to Pain Management in Older People</w:t>
      </w:r>
      <w:r w:rsidRPr="006E4557">
        <w:rPr>
          <w:rFonts w:asciiTheme="minorHAnsi" w:eastAsia="Times New Roman" w:hAnsiTheme="minorHAnsi" w:cs="Arial"/>
          <w:color w:val="000000" w:themeColor="text1"/>
          <w:sz w:val="16"/>
          <w:szCs w:val="16"/>
        </w:rPr>
        <w:t xml:space="preserve">. Available at: </w:t>
      </w:r>
      <w:hyperlink r:id="rId11" w:anchor="more-4087" w:history="1">
        <w:r w:rsidRPr="006E4557">
          <w:rPr>
            <w:rStyle w:val="Hyperlink"/>
            <w:rFonts w:asciiTheme="minorHAnsi" w:eastAsia="Times New Roman" w:hAnsiTheme="minorHAnsi" w:cs="Arial"/>
            <w:sz w:val="16"/>
            <w:szCs w:val="16"/>
          </w:rPr>
          <w:t>https://britishgeriatricssociety.wordpress.com/2017/02/01/a-new-holistic-approach-to-pain-management-in-older-people/#more-4087</w:t>
        </w:r>
      </w:hyperlink>
      <w:r w:rsidRPr="006E4557">
        <w:rPr>
          <w:rFonts w:asciiTheme="minorHAnsi" w:eastAsia="Times New Roman" w:hAnsiTheme="minorHAnsi" w:cs="Arial"/>
          <w:color w:val="666666"/>
          <w:sz w:val="16"/>
          <w:szCs w:val="16"/>
        </w:rPr>
        <w:t>.</w:t>
      </w:r>
    </w:p>
    <w:p w14:paraId="382BF049" w14:textId="1A1BBC35" w:rsidR="00F106CC" w:rsidRDefault="000C7A26" w:rsidP="00F106CC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inorHAnsi" w:eastAsia="Times New Roman" w:hAnsiTheme="minorHAnsi" w:cs="Times New Roman"/>
          <w:color w:val="000000"/>
          <w:sz w:val="16"/>
          <w:szCs w:val="16"/>
          <w:bdr w:val="none" w:sz="0" w:space="0" w:color="auto" w:frame="1"/>
        </w:rPr>
      </w:pPr>
      <w:r w:rsidRPr="00F106CC">
        <w:rPr>
          <w:rFonts w:asciiTheme="minorHAnsi" w:eastAsia="Times New Roman" w:hAnsiTheme="minorHAnsi" w:cs="Times New Roman"/>
          <w:color w:val="000000"/>
          <w:sz w:val="16"/>
          <w:szCs w:val="16"/>
          <w:bdr w:val="none" w:sz="0" w:space="0" w:color="auto" w:frame="1"/>
        </w:rPr>
        <w:t>Ma N, Reddy R, Ahmed L</w:t>
      </w:r>
      <w:r>
        <w:rPr>
          <w:rFonts w:asciiTheme="minorHAnsi" w:eastAsia="Times New Roman" w:hAnsiTheme="minorHAnsi" w:cs="Times New Roman"/>
          <w:color w:val="000000"/>
          <w:sz w:val="16"/>
          <w:szCs w:val="16"/>
          <w:bdr w:val="none" w:sz="0" w:space="0" w:color="auto" w:frame="1"/>
        </w:rPr>
        <w:t>,</w:t>
      </w:r>
      <w:r w:rsidRPr="000C7A26">
        <w:rPr>
          <w:rFonts w:asciiTheme="minorHAnsi" w:eastAsia="Times New Roman" w:hAnsiTheme="minorHAnsi" w:cs="Times New Roman"/>
          <w:color w:val="131313"/>
          <w:spacing w:val="-7"/>
          <w:kern w:val="36"/>
          <w:sz w:val="16"/>
          <w:szCs w:val="16"/>
        </w:rPr>
        <w:t xml:space="preserve"> </w:t>
      </w:r>
      <w:r>
        <w:rPr>
          <w:rFonts w:asciiTheme="minorHAnsi" w:eastAsia="Times New Roman" w:hAnsiTheme="minorHAnsi" w:cs="Times New Roman"/>
          <w:color w:val="131313"/>
          <w:spacing w:val="-7"/>
          <w:kern w:val="36"/>
          <w:sz w:val="16"/>
          <w:szCs w:val="16"/>
        </w:rPr>
        <w:t>(2016).</w:t>
      </w:r>
      <w:r w:rsidRPr="00F106CC">
        <w:rPr>
          <w:rFonts w:asciiTheme="minorHAnsi" w:eastAsia="Times New Roman" w:hAnsiTheme="minorHAnsi" w:cs="Times New Roman"/>
          <w:color w:val="000000"/>
          <w:sz w:val="16"/>
          <w:szCs w:val="16"/>
          <w:bdr w:val="none" w:sz="0" w:space="0" w:color="auto" w:frame="1"/>
        </w:rPr>
        <w:t xml:space="preserve"> </w:t>
      </w:r>
      <w:r w:rsidR="00F106CC" w:rsidRPr="00F106CC">
        <w:rPr>
          <w:rFonts w:asciiTheme="minorHAnsi" w:eastAsia="Times New Roman" w:hAnsiTheme="minorHAnsi" w:cs="Times New Roman"/>
          <w:color w:val="131313"/>
          <w:spacing w:val="-7"/>
          <w:kern w:val="36"/>
          <w:sz w:val="16"/>
          <w:szCs w:val="16"/>
        </w:rPr>
        <w:t>Retrospective observational evaluation of the adult in-patient oxygen weaning process and causes for delay</w:t>
      </w:r>
      <w:r>
        <w:rPr>
          <w:rFonts w:asciiTheme="minorHAnsi" w:eastAsia="Times New Roman" w:hAnsiTheme="minorHAnsi" w:cs="Times New Roman"/>
          <w:color w:val="131313"/>
          <w:spacing w:val="-7"/>
          <w:kern w:val="36"/>
          <w:sz w:val="16"/>
          <w:szCs w:val="16"/>
        </w:rPr>
        <w:t xml:space="preserve">. </w:t>
      </w:r>
      <w:r w:rsidR="00F106CC" w:rsidRPr="00F106CC">
        <w:rPr>
          <w:rFonts w:asciiTheme="minorHAnsi" w:eastAsia="Times New Roman" w:hAnsiTheme="minorHAnsi" w:cs="Times New Roman"/>
          <w:color w:val="000000"/>
          <w:sz w:val="16"/>
          <w:szCs w:val="16"/>
          <w:bdr w:val="none" w:sz="0" w:space="0" w:color="auto" w:frame="1"/>
        </w:rPr>
        <w:t>European Respiratory Journal 2016 48: PA3550; </w:t>
      </w:r>
      <w:r w:rsidR="00F106CC" w:rsidRPr="007A1F59">
        <w:rPr>
          <w:rFonts w:asciiTheme="minorHAnsi" w:eastAsia="Times New Roman" w:hAnsiTheme="minorHAnsi" w:cs="Times New Roman"/>
          <w:bCs/>
          <w:color w:val="000000"/>
          <w:sz w:val="16"/>
          <w:szCs w:val="16"/>
          <w:bdr w:val="none" w:sz="0" w:space="0" w:color="auto" w:frame="1"/>
        </w:rPr>
        <w:t>DOI</w:t>
      </w:r>
      <w:r w:rsidR="00F106CC" w:rsidRPr="00F106CC">
        <w:rPr>
          <w:rFonts w:asciiTheme="minorHAnsi" w:eastAsia="Times New Roman" w:hAnsiTheme="minorHAnsi" w:cs="Times New Roman"/>
          <w:b/>
          <w:bCs/>
          <w:color w:val="000000"/>
          <w:sz w:val="16"/>
          <w:szCs w:val="16"/>
          <w:bdr w:val="none" w:sz="0" w:space="0" w:color="auto" w:frame="1"/>
        </w:rPr>
        <w:t>:</w:t>
      </w:r>
      <w:r w:rsidR="00F106CC" w:rsidRPr="00F106CC">
        <w:rPr>
          <w:rFonts w:asciiTheme="minorHAnsi" w:eastAsia="Times New Roman" w:hAnsiTheme="minorHAnsi" w:cs="Times New Roman"/>
          <w:color w:val="000000"/>
          <w:sz w:val="16"/>
          <w:szCs w:val="16"/>
          <w:bdr w:val="none" w:sz="0" w:space="0" w:color="auto" w:frame="1"/>
        </w:rPr>
        <w:t> 10.1183/13993003.congress-2016.PA3550 </w:t>
      </w:r>
    </w:p>
    <w:p w14:paraId="7A9C252D" w14:textId="77777777" w:rsidR="00F106CC" w:rsidRDefault="002863E6" w:rsidP="00F106CC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inorHAnsi" w:hAnsiTheme="minorHAnsi"/>
          <w:sz w:val="16"/>
          <w:szCs w:val="16"/>
        </w:rPr>
      </w:pPr>
      <w:r w:rsidRPr="00F106CC">
        <w:rPr>
          <w:rFonts w:asciiTheme="minorHAnsi" w:hAnsiTheme="minorHAnsi"/>
          <w:sz w:val="16"/>
          <w:szCs w:val="16"/>
        </w:rPr>
        <w:t>Ma N, Tung P, Pountney A and Weerasinghe A, (2013). Visual prompt improves patient safety on prescribing. Emergency Medicine Society of South Africa (EMSSA) conference, p61.</w:t>
      </w:r>
    </w:p>
    <w:p w14:paraId="7895068C" w14:textId="534B335F" w:rsidR="002863E6" w:rsidRPr="00F106CC" w:rsidRDefault="002863E6" w:rsidP="00F106CC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inorHAnsi" w:hAnsiTheme="minorHAnsi"/>
          <w:sz w:val="16"/>
          <w:szCs w:val="16"/>
        </w:rPr>
      </w:pPr>
      <w:r w:rsidRPr="00F106CC">
        <w:rPr>
          <w:rFonts w:asciiTheme="minorHAnsi" w:hAnsiTheme="minorHAnsi" w:cs="Verdana"/>
          <w:sz w:val="16"/>
          <w:szCs w:val="16"/>
        </w:rPr>
        <w:t xml:space="preserve">Sabir IN, Ma N, Jones VJ and Goddard CA et al, (2010). Alternans in genetically modified langendorff-perfused murine hearts modelling catecholaminergic polymorphic ventricular tachycardia. Front Physiol. 2010 Oct 28; 1:126. PMID:21423368 </w:t>
      </w:r>
    </w:p>
    <w:p w14:paraId="4478195A" w14:textId="77777777" w:rsidR="004D302C" w:rsidRDefault="004D302C" w:rsidP="004D302C">
      <w:pPr>
        <w:widowControl/>
        <w:contextualSpacing/>
        <w:rPr>
          <w:rFonts w:asciiTheme="minorHAnsi" w:hAnsiTheme="minorHAnsi"/>
          <w:sz w:val="16"/>
          <w:szCs w:val="16"/>
        </w:rPr>
      </w:pPr>
    </w:p>
    <w:p w14:paraId="0EC3A719" w14:textId="77777777" w:rsidR="004D302C" w:rsidRPr="004D302C" w:rsidRDefault="004D302C" w:rsidP="004D302C">
      <w:pPr>
        <w:widowControl/>
        <w:contextualSpacing/>
        <w:rPr>
          <w:rFonts w:asciiTheme="minorHAnsi" w:hAnsiTheme="minorHAnsi"/>
          <w:sz w:val="16"/>
          <w:szCs w:val="16"/>
        </w:rPr>
        <w:sectPr w:rsidR="004D302C" w:rsidRPr="004D302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B4976AA" w14:textId="410DC6E9" w:rsidR="004D302C" w:rsidRDefault="000C7A26" w:rsidP="001D5F05">
      <w:pPr>
        <w:pStyle w:val="BodyText"/>
        <w:tabs>
          <w:tab w:val="left" w:pos="510"/>
        </w:tabs>
        <w:rPr>
          <w:rFonts w:ascii="Arial"/>
          <w:color w:val="BF5A14"/>
          <w:sz w:val="20"/>
          <w:szCs w:val="20"/>
        </w:rPr>
      </w:pPr>
      <w:r>
        <w:rPr>
          <w:rFonts w:ascii="Calibri"/>
          <w:noProof/>
          <w:sz w:val="4"/>
          <w:lang w:eastAsia="zh-CN"/>
        </w:rPr>
        <w:lastRenderedPageBreak/>
        <mc:AlternateContent>
          <mc:Choice Requires="wpg">
            <w:drawing>
              <wp:inline distT="0" distB="0" distL="0" distR="0" wp14:anchorId="0C7F6B99" wp14:editId="74835A52">
                <wp:extent cx="4308664" cy="259030"/>
                <wp:effectExtent l="0" t="0" r="9525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08664" cy="25903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9DF257" id="Group 4" o:spid="_x0000_s1026" style="width:339.25pt;height:20.4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  <w:r w:rsidR="004D302C">
        <w:rPr>
          <w:rFonts w:ascii="Arial"/>
          <w:color w:val="BF5A14"/>
          <w:sz w:val="20"/>
          <w:szCs w:val="20"/>
        </w:rPr>
        <w:tab/>
      </w:r>
      <w:r w:rsidR="004D302C">
        <w:rPr>
          <w:rFonts w:ascii="Arial"/>
          <w:color w:val="BF5A14"/>
          <w:sz w:val="20"/>
          <w:szCs w:val="20"/>
        </w:rPr>
        <w:tab/>
        <w:t xml:space="preserve">    </w:t>
      </w:r>
    </w:p>
    <w:p w14:paraId="01DEBF6E" w14:textId="7894BD14" w:rsidR="00D45609" w:rsidRPr="001D5F05" w:rsidRDefault="004D302C" w:rsidP="001D5F05">
      <w:pPr>
        <w:pStyle w:val="BodyText"/>
        <w:tabs>
          <w:tab w:val="left" w:pos="510"/>
        </w:tabs>
        <w:rPr>
          <w:rFonts w:ascii="Arial"/>
          <w:color w:val="BF5A14"/>
          <w:sz w:val="20"/>
          <w:szCs w:val="20"/>
        </w:rPr>
      </w:pPr>
      <w:r w:rsidRPr="001D5F05">
        <w:rPr>
          <w:rFonts w:ascii="Calibri"/>
          <w:noProof/>
          <w:sz w:val="20"/>
          <w:szCs w:val="20"/>
          <w:lang w:eastAsia="zh-CN"/>
        </w:rPr>
        <w:drawing>
          <wp:anchor distT="0" distB="0" distL="114300" distR="114300" simplePos="0" relativeHeight="251661312" behindDoc="0" locked="0" layoutInCell="1" allowOverlap="1" wp14:anchorId="23C95AB9" wp14:editId="56967D97">
            <wp:simplePos x="0" y="0"/>
            <wp:positionH relativeFrom="column">
              <wp:posOffset>98425</wp:posOffset>
            </wp:positionH>
            <wp:positionV relativeFrom="paragraph">
              <wp:posOffset>43180</wp:posOffset>
            </wp:positionV>
            <wp:extent cx="843280" cy="102679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24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07" t="47452" r="35572" b="33724"/>
                    <a:stretch/>
                  </pic:blipFill>
                  <pic:spPr bwMode="auto">
                    <a:xfrm>
                      <a:off x="0" y="0"/>
                      <a:ext cx="843280" cy="1026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 w:rsidRPr="001D5F05">
        <w:rPr>
          <w:rFonts w:ascii="Arial"/>
          <w:color w:val="BF5A14"/>
          <w:sz w:val="20"/>
          <w:szCs w:val="20"/>
        </w:rPr>
        <w:t>Biography</w:t>
      </w:r>
      <w:r w:rsidR="00404E5B" w:rsidRPr="001D5F05">
        <w:rPr>
          <w:rFonts w:ascii="Arial"/>
          <w:color w:val="BF5A14"/>
          <w:sz w:val="20"/>
          <w:szCs w:val="20"/>
        </w:rPr>
        <w:t xml:space="preserve"> </w:t>
      </w:r>
    </w:p>
    <w:p w14:paraId="357BE5A8" w14:textId="1C9DFB1A" w:rsidR="00D45609" w:rsidRPr="00D45609" w:rsidRDefault="00D45609" w:rsidP="00D45609">
      <w:pPr>
        <w:rPr>
          <w:rFonts w:asciiTheme="minorHAnsi" w:hAnsiTheme="minorHAnsi" w:cs="Microsoft Sans Serif"/>
          <w:sz w:val="16"/>
          <w:szCs w:val="16"/>
          <w:lang w:val="en-GB"/>
        </w:rPr>
      </w:pPr>
    </w:p>
    <w:p w14:paraId="599E5C77" w14:textId="1B8C4BC5" w:rsidR="00D45609" w:rsidRPr="00F45D6D" w:rsidRDefault="00C20B0A" w:rsidP="0090104D">
      <w:pPr>
        <w:rPr>
          <w:rFonts w:asciiTheme="minorHAnsi" w:eastAsia="Times New Roman" w:hAnsiTheme="minorHAnsi" w:cs="Times New Roman"/>
          <w:sz w:val="18"/>
          <w:szCs w:val="18"/>
          <w:lang w:eastAsia="zh-CN"/>
        </w:rPr>
      </w:pPr>
      <w:r w:rsidRPr="00F45D6D">
        <w:rPr>
          <w:rFonts w:asciiTheme="minorHAnsi" w:hAnsiTheme="minorHAnsi" w:cs="Microsoft Sans Serif"/>
          <w:sz w:val="18"/>
          <w:szCs w:val="18"/>
          <w:lang w:val="en-GB"/>
        </w:rPr>
        <w:t xml:space="preserve">Dr </w:t>
      </w:r>
      <w:r w:rsidR="00D45609" w:rsidRPr="00F45D6D">
        <w:rPr>
          <w:rFonts w:asciiTheme="minorHAnsi" w:hAnsiTheme="minorHAnsi" w:cs="Microsoft Sans Serif"/>
          <w:sz w:val="18"/>
          <w:szCs w:val="18"/>
          <w:lang w:val="en-GB"/>
        </w:rPr>
        <w:t>Nan Ma, MB Bchir</w:t>
      </w:r>
      <w:r w:rsidR="00846919" w:rsidRPr="00F45D6D">
        <w:rPr>
          <w:rFonts w:asciiTheme="minorHAnsi" w:hAnsiTheme="minorHAnsi" w:cs="Microsoft Sans Serif"/>
          <w:sz w:val="18"/>
          <w:szCs w:val="18"/>
          <w:lang w:val="en-GB"/>
        </w:rPr>
        <w:t>, MRCP is a specialty</w:t>
      </w:r>
      <w:r w:rsidR="00D45609" w:rsidRPr="00F45D6D">
        <w:rPr>
          <w:rFonts w:asciiTheme="minorHAnsi" w:hAnsiTheme="minorHAnsi" w:cs="Microsoft Sans Serif"/>
          <w:sz w:val="18"/>
          <w:szCs w:val="18"/>
          <w:lang w:val="en-GB"/>
        </w:rPr>
        <w:t xml:space="preserve"> registra</w:t>
      </w:r>
      <w:r w:rsidR="00846919" w:rsidRPr="00F45D6D">
        <w:rPr>
          <w:rFonts w:asciiTheme="minorHAnsi" w:hAnsiTheme="minorHAnsi" w:cs="Microsoft Sans Serif"/>
          <w:sz w:val="18"/>
          <w:szCs w:val="18"/>
          <w:lang w:val="en-GB"/>
        </w:rPr>
        <w:t>r</w:t>
      </w:r>
      <w:r w:rsidR="00D45609" w:rsidRPr="00F45D6D">
        <w:rPr>
          <w:rFonts w:asciiTheme="minorHAnsi" w:hAnsiTheme="minorHAnsi" w:cs="Microsoft Sans Serif"/>
          <w:sz w:val="18"/>
          <w:szCs w:val="18"/>
          <w:lang w:val="en-GB"/>
        </w:rPr>
        <w:t xml:space="preserve"> </w:t>
      </w:r>
      <w:r w:rsidR="00DA0DC1" w:rsidRPr="00F45D6D">
        <w:rPr>
          <w:rFonts w:asciiTheme="minorHAnsi" w:hAnsiTheme="minorHAnsi" w:cs="Microsoft Sans Serif"/>
          <w:sz w:val="18"/>
          <w:szCs w:val="18"/>
          <w:lang w:val="en-GB"/>
        </w:rPr>
        <w:t xml:space="preserve">in </w:t>
      </w:r>
      <w:r w:rsidR="00846919" w:rsidRPr="00F45D6D">
        <w:rPr>
          <w:rFonts w:asciiTheme="minorHAnsi" w:hAnsiTheme="minorHAnsi" w:cs="Microsoft Sans Serif"/>
          <w:sz w:val="18"/>
          <w:szCs w:val="18"/>
          <w:lang w:val="en-GB"/>
        </w:rPr>
        <w:t>geriatrics</w:t>
      </w:r>
      <w:r w:rsidR="00551499" w:rsidRPr="00F45D6D">
        <w:rPr>
          <w:rFonts w:asciiTheme="minorHAnsi" w:hAnsiTheme="minorHAnsi" w:cs="Microsoft Sans Serif"/>
          <w:sz w:val="18"/>
          <w:szCs w:val="18"/>
          <w:lang w:val="en-GB"/>
        </w:rPr>
        <w:t xml:space="preserve"> and</w:t>
      </w:r>
      <w:r w:rsidR="00201E8B" w:rsidRPr="00F45D6D">
        <w:rPr>
          <w:rFonts w:asciiTheme="minorHAnsi" w:hAnsiTheme="minorHAnsi" w:cs="Microsoft Sans Serif"/>
          <w:sz w:val="18"/>
          <w:szCs w:val="18"/>
          <w:lang w:val="en-GB"/>
        </w:rPr>
        <w:t xml:space="preserve"> </w:t>
      </w:r>
      <w:r w:rsidR="00E12B40">
        <w:rPr>
          <w:rFonts w:asciiTheme="minorHAnsi" w:hAnsiTheme="minorHAnsi" w:cs="Microsoft Sans Serif"/>
          <w:sz w:val="18"/>
          <w:szCs w:val="18"/>
          <w:lang w:val="en-GB"/>
        </w:rPr>
        <w:t xml:space="preserve">is </w:t>
      </w:r>
      <w:r w:rsidR="00201E8B" w:rsidRPr="00F45D6D">
        <w:rPr>
          <w:rFonts w:asciiTheme="minorHAnsi" w:hAnsiTheme="minorHAnsi" w:cs="Microsoft Sans Serif"/>
          <w:sz w:val="18"/>
          <w:szCs w:val="18"/>
          <w:lang w:val="en-GB"/>
        </w:rPr>
        <w:t>a</w:t>
      </w:r>
      <w:r w:rsidR="00551499" w:rsidRPr="00F45D6D">
        <w:rPr>
          <w:rFonts w:asciiTheme="minorHAnsi" w:hAnsiTheme="minorHAnsi" w:cs="Microsoft Sans Serif"/>
          <w:sz w:val="18"/>
          <w:szCs w:val="18"/>
          <w:lang w:val="en-GB"/>
        </w:rPr>
        <w:t xml:space="preserve"> member of the Royal College of Physicians</w:t>
      </w:r>
      <w:r w:rsidR="00D45609" w:rsidRPr="00F45D6D">
        <w:rPr>
          <w:rFonts w:asciiTheme="minorHAnsi" w:hAnsiTheme="minorHAnsi" w:cs="Microsoft Sans Serif"/>
          <w:sz w:val="18"/>
          <w:szCs w:val="18"/>
          <w:lang w:val="en-GB"/>
        </w:rPr>
        <w:t xml:space="preserve">. </w:t>
      </w:r>
      <w:r w:rsidR="00F96CB8" w:rsidRPr="00F45D6D">
        <w:rPr>
          <w:rFonts w:asciiTheme="minorHAnsi" w:eastAsia="Times New Roman" w:hAnsiTheme="minorHAnsi" w:cs="Times New Roman"/>
          <w:color w:val="000000"/>
          <w:sz w:val="18"/>
          <w:szCs w:val="18"/>
          <w:lang w:eastAsia="zh-CN"/>
        </w:rPr>
        <w:t xml:space="preserve">She </w:t>
      </w:r>
      <w:r w:rsidR="00846919" w:rsidRPr="00F45D6D">
        <w:rPr>
          <w:rFonts w:asciiTheme="minorHAnsi" w:eastAsia="Times New Roman" w:hAnsiTheme="minorHAnsi" w:cs="Times New Roman"/>
          <w:color w:val="000000"/>
          <w:sz w:val="18"/>
          <w:szCs w:val="18"/>
          <w:lang w:eastAsia="zh-CN"/>
        </w:rPr>
        <w:t xml:space="preserve">graduated </w:t>
      </w:r>
      <w:r w:rsidR="00DA0DC1" w:rsidRPr="00F45D6D">
        <w:rPr>
          <w:rFonts w:asciiTheme="minorHAnsi" w:eastAsia="Times New Roman" w:hAnsiTheme="minorHAnsi" w:cs="Times New Roman"/>
          <w:color w:val="000000"/>
          <w:sz w:val="18"/>
          <w:szCs w:val="18"/>
          <w:lang w:eastAsia="zh-CN"/>
        </w:rPr>
        <w:t xml:space="preserve">medical school </w:t>
      </w:r>
      <w:r w:rsidR="00846919" w:rsidRPr="00F45D6D">
        <w:rPr>
          <w:rFonts w:asciiTheme="minorHAnsi" w:eastAsia="Times New Roman" w:hAnsiTheme="minorHAnsi" w:cs="Times New Roman"/>
          <w:color w:val="000000"/>
          <w:sz w:val="18"/>
          <w:szCs w:val="18"/>
          <w:lang w:eastAsia="zh-CN"/>
        </w:rPr>
        <w:t xml:space="preserve">from </w:t>
      </w:r>
      <w:r w:rsidR="00F96CB8" w:rsidRPr="00F45D6D">
        <w:rPr>
          <w:rFonts w:asciiTheme="minorHAnsi" w:eastAsia="Times New Roman" w:hAnsiTheme="minorHAnsi" w:cs="Times New Roman"/>
          <w:color w:val="000000"/>
          <w:sz w:val="18"/>
          <w:szCs w:val="18"/>
          <w:lang w:eastAsia="zh-CN"/>
        </w:rPr>
        <w:t xml:space="preserve">Downing College, </w:t>
      </w:r>
      <w:r w:rsidR="00DA0DC1" w:rsidRPr="00F45D6D">
        <w:rPr>
          <w:rFonts w:asciiTheme="minorHAnsi" w:eastAsia="Times New Roman" w:hAnsiTheme="minorHAnsi" w:cs="Times New Roman"/>
          <w:color w:val="000000"/>
          <w:sz w:val="18"/>
          <w:szCs w:val="18"/>
          <w:lang w:eastAsia="zh-CN"/>
        </w:rPr>
        <w:t xml:space="preserve">University of </w:t>
      </w:r>
      <w:r w:rsidR="00F96CB8" w:rsidRPr="00F45D6D">
        <w:rPr>
          <w:rFonts w:asciiTheme="minorHAnsi" w:eastAsia="Times New Roman" w:hAnsiTheme="minorHAnsi" w:cs="Times New Roman"/>
          <w:color w:val="000000"/>
          <w:sz w:val="18"/>
          <w:szCs w:val="18"/>
          <w:lang w:eastAsia="zh-CN"/>
        </w:rPr>
        <w:t>Cambridge</w:t>
      </w:r>
      <w:r w:rsidR="0090104D" w:rsidRPr="00F45D6D">
        <w:rPr>
          <w:rFonts w:asciiTheme="minorHAnsi" w:eastAsia="Times New Roman" w:hAnsiTheme="minorHAnsi" w:cs="Times New Roman"/>
          <w:color w:val="000000"/>
          <w:sz w:val="18"/>
          <w:szCs w:val="18"/>
          <w:lang w:eastAsia="zh-CN"/>
        </w:rPr>
        <w:t xml:space="preserve"> in 2011</w:t>
      </w:r>
      <w:r w:rsidR="00F96CB8" w:rsidRPr="00F45D6D">
        <w:rPr>
          <w:rFonts w:asciiTheme="minorHAnsi" w:eastAsia="Times New Roman" w:hAnsiTheme="minorHAnsi" w:cs="Times New Roman"/>
          <w:color w:val="000000"/>
          <w:sz w:val="18"/>
          <w:szCs w:val="18"/>
          <w:lang w:eastAsia="zh-CN"/>
        </w:rPr>
        <w:t>, and is undertaking her training in general internal medicine and geriatrics at the Kings College Hospitals</w:t>
      </w:r>
      <w:r w:rsidR="00E12B40">
        <w:rPr>
          <w:rFonts w:asciiTheme="minorHAnsi" w:eastAsia="Times New Roman" w:hAnsiTheme="minorHAnsi" w:cs="Times New Roman"/>
          <w:color w:val="000000"/>
          <w:sz w:val="18"/>
          <w:szCs w:val="18"/>
          <w:lang w:eastAsia="zh-CN"/>
        </w:rPr>
        <w:t xml:space="preserve"> NHS</w:t>
      </w:r>
      <w:r w:rsidR="00F96CB8" w:rsidRPr="00F45D6D">
        <w:rPr>
          <w:rFonts w:asciiTheme="minorHAnsi" w:eastAsia="Times New Roman" w:hAnsiTheme="minorHAnsi" w:cs="Times New Roman"/>
          <w:color w:val="000000"/>
          <w:sz w:val="18"/>
          <w:szCs w:val="18"/>
          <w:lang w:eastAsia="zh-CN"/>
        </w:rPr>
        <w:t xml:space="preserve"> Trust in London.</w:t>
      </w:r>
      <w:r w:rsidR="00DA0DC1" w:rsidRPr="00F45D6D">
        <w:rPr>
          <w:rFonts w:asciiTheme="minorHAnsi" w:eastAsia="Times New Roman" w:hAnsiTheme="minorHAnsi" w:cs="Times New Roman"/>
          <w:sz w:val="18"/>
          <w:szCs w:val="18"/>
          <w:lang w:eastAsia="zh-CN"/>
        </w:rPr>
        <w:t xml:space="preserve"> </w:t>
      </w:r>
      <w:r w:rsidR="0090104D" w:rsidRPr="00F45D6D">
        <w:rPr>
          <w:rFonts w:asciiTheme="minorHAnsi" w:hAnsiTheme="minorHAnsi" w:cs="Microsoft Sans Serif"/>
          <w:sz w:val="18"/>
          <w:szCs w:val="18"/>
          <w:lang w:val="en-GB"/>
        </w:rPr>
        <w:t>She</w:t>
      </w:r>
      <w:r w:rsidR="00D45609" w:rsidRPr="00F45D6D">
        <w:rPr>
          <w:rFonts w:asciiTheme="minorHAnsi" w:hAnsiTheme="minorHAnsi" w:cs="Microsoft Sans Serif"/>
          <w:sz w:val="18"/>
          <w:szCs w:val="18"/>
          <w:lang w:val="en-GB"/>
        </w:rPr>
        <w:t xml:space="preserve"> has also gained certification by ECFMG to allow her the opportunity to further her training within the US in the future.</w:t>
      </w:r>
      <w:r w:rsidR="0090104D" w:rsidRPr="00F45D6D">
        <w:rPr>
          <w:rFonts w:asciiTheme="minorHAnsi" w:eastAsia="Times New Roman" w:hAnsiTheme="minorHAnsi" w:cs="Times New Roman"/>
          <w:sz w:val="18"/>
          <w:szCs w:val="18"/>
          <w:lang w:eastAsia="zh-CN"/>
        </w:rPr>
        <w:t xml:space="preserve"> </w:t>
      </w:r>
      <w:r w:rsidR="00E12B40">
        <w:rPr>
          <w:rFonts w:asciiTheme="minorHAnsi" w:eastAsia="Times New Roman" w:hAnsiTheme="minorHAnsi" w:cs="Times New Roman"/>
          <w:sz w:val="18"/>
          <w:szCs w:val="18"/>
          <w:lang w:eastAsia="zh-CN"/>
        </w:rPr>
        <w:t>Nan has always had an interest in research and h</w:t>
      </w:r>
      <w:r w:rsidR="00C05BEE">
        <w:rPr>
          <w:rFonts w:asciiTheme="minorHAnsi" w:eastAsia="Times New Roman" w:hAnsiTheme="minorHAnsi" w:cs="Times New Roman"/>
          <w:sz w:val="18"/>
          <w:szCs w:val="18"/>
          <w:lang w:eastAsia="zh-CN"/>
        </w:rPr>
        <w:t>er current interest in bone health</w:t>
      </w:r>
      <w:r w:rsidR="00E12B40">
        <w:rPr>
          <w:rFonts w:asciiTheme="minorHAnsi" w:eastAsia="Times New Roman" w:hAnsiTheme="minorHAnsi" w:cs="Times New Roman"/>
          <w:sz w:val="18"/>
          <w:szCs w:val="18"/>
          <w:lang w:eastAsia="zh-CN"/>
        </w:rPr>
        <w:t xml:space="preserve"> in the elderly population</w:t>
      </w:r>
      <w:r w:rsidR="00C05BEE">
        <w:rPr>
          <w:rFonts w:asciiTheme="minorHAnsi" w:eastAsia="Times New Roman" w:hAnsiTheme="minorHAnsi" w:cs="Times New Roman"/>
          <w:sz w:val="18"/>
          <w:szCs w:val="18"/>
          <w:lang w:eastAsia="zh-CN"/>
        </w:rPr>
        <w:t xml:space="preserve"> has allowed her to </w:t>
      </w:r>
      <w:r w:rsidR="00C05BEE">
        <w:rPr>
          <w:rFonts w:asciiTheme="minorHAnsi" w:hAnsiTheme="minorHAnsi" w:cs="Microsoft Sans Serif"/>
          <w:sz w:val="18"/>
          <w:szCs w:val="18"/>
          <w:lang w:val="en-GB"/>
        </w:rPr>
        <w:t>continue</w:t>
      </w:r>
      <w:r w:rsidR="00D45609" w:rsidRPr="00F45D6D">
        <w:rPr>
          <w:rFonts w:asciiTheme="minorHAnsi" w:hAnsiTheme="minorHAnsi" w:cs="Microsoft Sans Serif"/>
          <w:sz w:val="18"/>
          <w:szCs w:val="18"/>
          <w:lang w:val="en-GB"/>
        </w:rPr>
        <w:t xml:space="preserve"> to seek opportunities </w:t>
      </w:r>
      <w:r w:rsidR="00C05BEE">
        <w:rPr>
          <w:rFonts w:asciiTheme="minorHAnsi" w:hAnsiTheme="minorHAnsi" w:cs="Microsoft Sans Serif"/>
          <w:sz w:val="18"/>
          <w:szCs w:val="18"/>
          <w:lang w:val="en-GB"/>
        </w:rPr>
        <w:t>and</w:t>
      </w:r>
      <w:r w:rsidR="00D45609" w:rsidRPr="00F45D6D">
        <w:rPr>
          <w:rFonts w:asciiTheme="minorHAnsi" w:hAnsiTheme="minorHAnsi" w:cs="Microsoft Sans Serif"/>
          <w:sz w:val="18"/>
          <w:szCs w:val="18"/>
          <w:lang w:val="en-GB"/>
        </w:rPr>
        <w:t xml:space="preserve"> develop her skills and </w:t>
      </w:r>
      <w:r w:rsidR="00C05BEE">
        <w:rPr>
          <w:rFonts w:asciiTheme="minorHAnsi" w:hAnsiTheme="minorHAnsi" w:cs="Microsoft Sans Serif"/>
          <w:sz w:val="18"/>
          <w:szCs w:val="18"/>
          <w:lang w:val="en-GB"/>
        </w:rPr>
        <w:t>knowledge</w:t>
      </w:r>
      <w:r w:rsidR="00D45609" w:rsidRPr="00F45D6D">
        <w:rPr>
          <w:rFonts w:asciiTheme="minorHAnsi" w:hAnsiTheme="minorHAnsi" w:cs="Microsoft Sans Serif"/>
          <w:sz w:val="18"/>
          <w:szCs w:val="18"/>
          <w:lang w:val="en-GB"/>
        </w:rPr>
        <w:t xml:space="preserve"> of research alongside her cli</w:t>
      </w:r>
      <w:r w:rsidR="00C05BEE">
        <w:rPr>
          <w:rFonts w:asciiTheme="minorHAnsi" w:hAnsiTheme="minorHAnsi" w:cs="Microsoft Sans Serif"/>
          <w:sz w:val="18"/>
          <w:szCs w:val="18"/>
          <w:lang w:val="en-GB"/>
        </w:rPr>
        <w:t xml:space="preserve">nical work. </w:t>
      </w:r>
    </w:p>
    <w:p w14:paraId="5D086D1F" w14:textId="6231ED50"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274F26F0" w14:textId="0CF4A17E" w:rsidR="00AE3E37" w:rsidRDefault="00D95CF9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 nanma372@gmail.com</w:t>
      </w:r>
      <w:r w:rsidR="00371EC0">
        <w:rPr>
          <w:rStyle w:val="Hyperlink"/>
          <w:rFonts w:ascii="Arial"/>
          <w:sz w:val="14"/>
        </w:rPr>
        <w:t xml:space="preserve"> </w:t>
      </w:r>
    </w:p>
    <w:p w14:paraId="22959583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F10ED0F" wp14:editId="67630AB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F9591A3" w14:textId="77777777" w:rsidR="00AE3E37" w:rsidRDefault="00AE3E37">
      <w:pPr>
        <w:pStyle w:val="BodyText"/>
        <w:rPr>
          <w:rFonts w:ascii="Arial"/>
          <w:sz w:val="20"/>
        </w:rPr>
      </w:pPr>
    </w:p>
    <w:p w14:paraId="08010C42" w14:textId="77777777" w:rsidR="00AE3E37" w:rsidRDefault="00AE3E37">
      <w:pPr>
        <w:pStyle w:val="BodyText"/>
        <w:rPr>
          <w:rFonts w:ascii="Arial"/>
          <w:sz w:val="20"/>
        </w:rPr>
      </w:pPr>
    </w:p>
    <w:p w14:paraId="2B4004FD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520C1C8D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5B0215E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0FCEC50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AABA23" w14:textId="77777777" w:rsidR="009F2E49" w:rsidRDefault="009F2E49">
      <w:r>
        <w:separator/>
      </w:r>
    </w:p>
  </w:endnote>
  <w:endnote w:type="continuationSeparator" w:id="0">
    <w:p w14:paraId="001426CA" w14:textId="77777777" w:rsidR="009F2E49" w:rsidRDefault="009F2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192DB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C6D3685" wp14:editId="54D143D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BF9EC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A3B0B9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6D3685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" filled="f" stroked="f">
              <v:textbox inset="0,0,0,0">
                <w:txbxContent>
                  <w:p w14:paraId="28BF9EC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A3B0B9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B24596E" wp14:editId="3C87D85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08E7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A95E4A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24596E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A5tRlo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0208E7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A95E4A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283FD97" wp14:editId="5CA45E3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B810A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D62986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83FD97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" filled="f" stroked="f">
              <v:textbox inset="0,0,0,0">
                <w:txbxContent>
                  <w:p w14:paraId="21B810A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D62986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0E6901" w14:textId="77777777" w:rsidR="009F2E49" w:rsidRDefault="009F2E49">
      <w:r>
        <w:separator/>
      </w:r>
    </w:p>
  </w:footnote>
  <w:footnote w:type="continuationSeparator" w:id="0">
    <w:p w14:paraId="468B8C11" w14:textId="77777777" w:rsidR="009F2E49" w:rsidRDefault="009F2E4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08882" w14:textId="77777777" w:rsidR="00AE3E37" w:rsidRDefault="0043389A">
    <w:pPr>
      <w:pStyle w:val="BodyText"/>
      <w:spacing w:line="14" w:lineRule="auto"/>
      <w:rPr>
        <w:sz w:val="20"/>
      </w:rPr>
    </w:pPr>
    <w:r>
      <w:rPr>
        <w:noProof/>
        <w:sz w:val="20"/>
        <w:lang w:eastAsia="zh-CN"/>
      </w:rPr>
      <w:drawing>
        <wp:inline distT="0" distB="0" distL="0" distR="0" wp14:anchorId="2A79DC0C" wp14:editId="1FFB72BB">
          <wp:extent cx="6671462" cy="1397204"/>
          <wp:effectExtent l="0" t="0" r="0" b="0"/>
          <wp:docPr id="3" name="Picture 3" descr="D:\ICAG 2018\pdfs\ICAG Head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ICAG 2018\pdfs\ICAG Head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785" cy="142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E4DBC"/>
    <w:multiLevelType w:val="multilevel"/>
    <w:tmpl w:val="B4B65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8606C4C"/>
    <w:multiLevelType w:val="hybridMultilevel"/>
    <w:tmpl w:val="FC2228B0"/>
    <w:lvl w:ilvl="0" w:tplc="FBEC1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68C4734D"/>
    <w:multiLevelType w:val="hybridMultilevel"/>
    <w:tmpl w:val="FC2228B0"/>
    <w:lvl w:ilvl="0" w:tplc="FBEC1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303A"/>
    <w:rsid w:val="0004363E"/>
    <w:rsid w:val="000B533D"/>
    <w:rsid w:val="000B5E57"/>
    <w:rsid w:val="000C7A26"/>
    <w:rsid w:val="000E2911"/>
    <w:rsid w:val="00117E3F"/>
    <w:rsid w:val="001263DF"/>
    <w:rsid w:val="00157E09"/>
    <w:rsid w:val="00183763"/>
    <w:rsid w:val="001879CC"/>
    <w:rsid w:val="001B5230"/>
    <w:rsid w:val="001D5F05"/>
    <w:rsid w:val="00201E8B"/>
    <w:rsid w:val="002863E6"/>
    <w:rsid w:val="00292ED9"/>
    <w:rsid w:val="003005F8"/>
    <w:rsid w:val="003060F0"/>
    <w:rsid w:val="00371EC0"/>
    <w:rsid w:val="003C269C"/>
    <w:rsid w:val="003C3A93"/>
    <w:rsid w:val="00404E5B"/>
    <w:rsid w:val="00414F7B"/>
    <w:rsid w:val="0043389A"/>
    <w:rsid w:val="004355DC"/>
    <w:rsid w:val="00446C66"/>
    <w:rsid w:val="004749B4"/>
    <w:rsid w:val="00484C45"/>
    <w:rsid w:val="00494130"/>
    <w:rsid w:val="004D0851"/>
    <w:rsid w:val="004D302C"/>
    <w:rsid w:val="004F3523"/>
    <w:rsid w:val="00530895"/>
    <w:rsid w:val="00551499"/>
    <w:rsid w:val="005973B9"/>
    <w:rsid w:val="005B3A56"/>
    <w:rsid w:val="005E5A4A"/>
    <w:rsid w:val="006060CE"/>
    <w:rsid w:val="0063497F"/>
    <w:rsid w:val="00652D26"/>
    <w:rsid w:val="006805E6"/>
    <w:rsid w:val="006E4557"/>
    <w:rsid w:val="006E778F"/>
    <w:rsid w:val="0070580A"/>
    <w:rsid w:val="00795891"/>
    <w:rsid w:val="007A1F59"/>
    <w:rsid w:val="007B4F87"/>
    <w:rsid w:val="007D19D4"/>
    <w:rsid w:val="00806EF1"/>
    <w:rsid w:val="00846919"/>
    <w:rsid w:val="00873DF0"/>
    <w:rsid w:val="008756E6"/>
    <w:rsid w:val="008A2DC2"/>
    <w:rsid w:val="0090104D"/>
    <w:rsid w:val="009B1278"/>
    <w:rsid w:val="009B2D44"/>
    <w:rsid w:val="009C018F"/>
    <w:rsid w:val="009F2E49"/>
    <w:rsid w:val="00A07E82"/>
    <w:rsid w:val="00A9710C"/>
    <w:rsid w:val="00AD3F8B"/>
    <w:rsid w:val="00AE3E37"/>
    <w:rsid w:val="00B21A57"/>
    <w:rsid w:val="00B374A1"/>
    <w:rsid w:val="00B602EC"/>
    <w:rsid w:val="00C05BEE"/>
    <w:rsid w:val="00C20B0A"/>
    <w:rsid w:val="00C33602"/>
    <w:rsid w:val="00C55EE3"/>
    <w:rsid w:val="00C66E9B"/>
    <w:rsid w:val="00CD6F55"/>
    <w:rsid w:val="00CE6816"/>
    <w:rsid w:val="00CF0C0C"/>
    <w:rsid w:val="00D124E8"/>
    <w:rsid w:val="00D1581D"/>
    <w:rsid w:val="00D33214"/>
    <w:rsid w:val="00D45609"/>
    <w:rsid w:val="00D95CF9"/>
    <w:rsid w:val="00DA0DC1"/>
    <w:rsid w:val="00DE3104"/>
    <w:rsid w:val="00DE6D9F"/>
    <w:rsid w:val="00E02AAF"/>
    <w:rsid w:val="00E12B40"/>
    <w:rsid w:val="00E254B9"/>
    <w:rsid w:val="00E334F5"/>
    <w:rsid w:val="00E764A1"/>
    <w:rsid w:val="00F106CC"/>
    <w:rsid w:val="00F45D6D"/>
    <w:rsid w:val="00F72EEA"/>
    <w:rsid w:val="00F84CAE"/>
    <w:rsid w:val="00F96CB8"/>
    <w:rsid w:val="00FE7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72FD8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D124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79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8337">
              <w:marLeft w:val="0"/>
              <w:marRight w:val="48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517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9090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7961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4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62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070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ritishgeriatricssociety.wordpress.com/2017/02/01/a-new-holistic-approach-to-pain-management-in-older-people/" TargetMode="External"/><Relationship Id="rId12" Type="http://schemas.openxmlformats.org/officeDocument/2006/relationships/image" Target="media/image2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chart" Target="charts/chart1.xml"/><Relationship Id="rId10" Type="http://schemas.openxmlformats.org/officeDocument/2006/relationships/hyperlink" Target="http://casereports.bmj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\apple\Documents\Nan%20Documents\ST3\Vit%20D\Nan%20vit%20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3735989612869"/>
          <c:y val="0.0311224086251428"/>
          <c:w val="0.827493050971934"/>
          <c:h val="0.773939128345043"/>
        </c:manualLayout>
      </c:layout>
      <c:barChart>
        <c:barDir val="col"/>
        <c:grouping val="clustered"/>
        <c:varyColors val="0"/>
        <c:ser>
          <c:idx val="5"/>
          <c:order val="0"/>
          <c:tx>
            <c:strRef>
              <c:f>Sheet2!$G$2</c:f>
              <c:strCache>
                <c:ptCount val="1"/>
                <c:pt idx="0">
                  <c:v>Pre - Rx Vit D 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numRef>
              <c:f>Sheet2!$A$3:$A$36</c:f>
              <c:numCache>
                <c:formatCode>General</c:formatCode>
                <c:ptCount val="34"/>
                <c:pt idx="0">
                  <c:v>1.0</c:v>
                </c:pt>
                <c:pt idx="1">
                  <c:v>2.0</c:v>
                </c:pt>
                <c:pt idx="2">
                  <c:v>3.0</c:v>
                </c:pt>
                <c:pt idx="3">
                  <c:v>4.0</c:v>
                </c:pt>
                <c:pt idx="4">
                  <c:v>5.0</c:v>
                </c:pt>
                <c:pt idx="5">
                  <c:v>6.0</c:v>
                </c:pt>
                <c:pt idx="6">
                  <c:v>7.0</c:v>
                </c:pt>
                <c:pt idx="7">
                  <c:v>8.0</c:v>
                </c:pt>
                <c:pt idx="8">
                  <c:v>9.0</c:v>
                </c:pt>
                <c:pt idx="9">
                  <c:v>10.0</c:v>
                </c:pt>
                <c:pt idx="10">
                  <c:v>11.0</c:v>
                </c:pt>
                <c:pt idx="11">
                  <c:v>12.0</c:v>
                </c:pt>
                <c:pt idx="12">
                  <c:v>13.0</c:v>
                </c:pt>
                <c:pt idx="13">
                  <c:v>14.0</c:v>
                </c:pt>
                <c:pt idx="14">
                  <c:v>15.0</c:v>
                </c:pt>
                <c:pt idx="15">
                  <c:v>16.0</c:v>
                </c:pt>
                <c:pt idx="16">
                  <c:v>17.0</c:v>
                </c:pt>
                <c:pt idx="17">
                  <c:v>18.0</c:v>
                </c:pt>
                <c:pt idx="18">
                  <c:v>19.0</c:v>
                </c:pt>
                <c:pt idx="19">
                  <c:v>20.0</c:v>
                </c:pt>
                <c:pt idx="20">
                  <c:v>21.0</c:v>
                </c:pt>
                <c:pt idx="21">
                  <c:v>22.0</c:v>
                </c:pt>
                <c:pt idx="22">
                  <c:v>23.0</c:v>
                </c:pt>
                <c:pt idx="23">
                  <c:v>24.0</c:v>
                </c:pt>
                <c:pt idx="24">
                  <c:v>25.0</c:v>
                </c:pt>
                <c:pt idx="25">
                  <c:v>26.0</c:v>
                </c:pt>
                <c:pt idx="26">
                  <c:v>27.0</c:v>
                </c:pt>
                <c:pt idx="27">
                  <c:v>28.0</c:v>
                </c:pt>
                <c:pt idx="28">
                  <c:v>29.0</c:v>
                </c:pt>
                <c:pt idx="29">
                  <c:v>30.0</c:v>
                </c:pt>
                <c:pt idx="30">
                  <c:v>31.0</c:v>
                </c:pt>
                <c:pt idx="31">
                  <c:v>32.0</c:v>
                </c:pt>
                <c:pt idx="32">
                  <c:v>33.0</c:v>
                </c:pt>
                <c:pt idx="33">
                  <c:v>34.0</c:v>
                </c:pt>
              </c:numCache>
            </c:numRef>
          </c:cat>
          <c:val>
            <c:numRef>
              <c:f>Sheet2!$G$3:$G$36</c:f>
              <c:numCache>
                <c:formatCode>General</c:formatCode>
                <c:ptCount val="34"/>
                <c:pt idx="0">
                  <c:v>8.0</c:v>
                </c:pt>
                <c:pt idx="1">
                  <c:v>8.0</c:v>
                </c:pt>
                <c:pt idx="2">
                  <c:v>8.0</c:v>
                </c:pt>
                <c:pt idx="3">
                  <c:v>15.0</c:v>
                </c:pt>
                <c:pt idx="4">
                  <c:v>8.0</c:v>
                </c:pt>
                <c:pt idx="5">
                  <c:v>19.0</c:v>
                </c:pt>
                <c:pt idx="6">
                  <c:v>15.0</c:v>
                </c:pt>
                <c:pt idx="7">
                  <c:v>8.0</c:v>
                </c:pt>
                <c:pt idx="8">
                  <c:v>15.0</c:v>
                </c:pt>
                <c:pt idx="9">
                  <c:v>15.0</c:v>
                </c:pt>
                <c:pt idx="10">
                  <c:v>11.0</c:v>
                </c:pt>
                <c:pt idx="11">
                  <c:v>15.0</c:v>
                </c:pt>
                <c:pt idx="12">
                  <c:v>8.0</c:v>
                </c:pt>
                <c:pt idx="13">
                  <c:v>20.0</c:v>
                </c:pt>
                <c:pt idx="14">
                  <c:v>17.0</c:v>
                </c:pt>
                <c:pt idx="15">
                  <c:v>10.0</c:v>
                </c:pt>
                <c:pt idx="16">
                  <c:v>8.0</c:v>
                </c:pt>
                <c:pt idx="17">
                  <c:v>8.0</c:v>
                </c:pt>
                <c:pt idx="18">
                  <c:v>18.0</c:v>
                </c:pt>
                <c:pt idx="19">
                  <c:v>8.0</c:v>
                </c:pt>
                <c:pt idx="20">
                  <c:v>11.0</c:v>
                </c:pt>
                <c:pt idx="21">
                  <c:v>12.0</c:v>
                </c:pt>
                <c:pt idx="22">
                  <c:v>20.0</c:v>
                </c:pt>
                <c:pt idx="23">
                  <c:v>10.0</c:v>
                </c:pt>
                <c:pt idx="24">
                  <c:v>16.0</c:v>
                </c:pt>
                <c:pt idx="25">
                  <c:v>11.0</c:v>
                </c:pt>
                <c:pt idx="26">
                  <c:v>9.0</c:v>
                </c:pt>
                <c:pt idx="27">
                  <c:v>8.0</c:v>
                </c:pt>
                <c:pt idx="28">
                  <c:v>13.0</c:v>
                </c:pt>
                <c:pt idx="29">
                  <c:v>8.0</c:v>
                </c:pt>
                <c:pt idx="30">
                  <c:v>14.0</c:v>
                </c:pt>
                <c:pt idx="31">
                  <c:v>10.0</c:v>
                </c:pt>
                <c:pt idx="32">
                  <c:v>8.0</c:v>
                </c:pt>
                <c:pt idx="33">
                  <c:v>8.0</c:v>
                </c:pt>
              </c:numCache>
            </c:numRef>
          </c:val>
        </c:ser>
        <c:ser>
          <c:idx val="7"/>
          <c:order val="1"/>
          <c:tx>
            <c:strRef>
              <c:f>Sheet2!$I$2</c:f>
              <c:strCache>
                <c:ptCount val="1"/>
                <c:pt idx="0">
                  <c:v>Post Rx Vit D 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numRef>
              <c:f>Sheet2!$A$3:$A$36</c:f>
              <c:numCache>
                <c:formatCode>General</c:formatCode>
                <c:ptCount val="34"/>
                <c:pt idx="0">
                  <c:v>1.0</c:v>
                </c:pt>
                <c:pt idx="1">
                  <c:v>2.0</c:v>
                </c:pt>
                <c:pt idx="2">
                  <c:v>3.0</c:v>
                </c:pt>
                <c:pt idx="3">
                  <c:v>4.0</c:v>
                </c:pt>
                <c:pt idx="4">
                  <c:v>5.0</c:v>
                </c:pt>
                <c:pt idx="5">
                  <c:v>6.0</c:v>
                </c:pt>
                <c:pt idx="6">
                  <c:v>7.0</c:v>
                </c:pt>
                <c:pt idx="7">
                  <c:v>8.0</c:v>
                </c:pt>
                <c:pt idx="8">
                  <c:v>9.0</c:v>
                </c:pt>
                <c:pt idx="9">
                  <c:v>10.0</c:v>
                </c:pt>
                <c:pt idx="10">
                  <c:v>11.0</c:v>
                </c:pt>
                <c:pt idx="11">
                  <c:v>12.0</c:v>
                </c:pt>
                <c:pt idx="12">
                  <c:v>13.0</c:v>
                </c:pt>
                <c:pt idx="13">
                  <c:v>14.0</c:v>
                </c:pt>
                <c:pt idx="14">
                  <c:v>15.0</c:v>
                </c:pt>
                <c:pt idx="15">
                  <c:v>16.0</c:v>
                </c:pt>
                <c:pt idx="16">
                  <c:v>17.0</c:v>
                </c:pt>
                <c:pt idx="17">
                  <c:v>18.0</c:v>
                </c:pt>
                <c:pt idx="18">
                  <c:v>19.0</c:v>
                </c:pt>
                <c:pt idx="19">
                  <c:v>20.0</c:v>
                </c:pt>
                <c:pt idx="20">
                  <c:v>21.0</c:v>
                </c:pt>
                <c:pt idx="21">
                  <c:v>22.0</c:v>
                </c:pt>
                <c:pt idx="22">
                  <c:v>23.0</c:v>
                </c:pt>
                <c:pt idx="23">
                  <c:v>24.0</c:v>
                </c:pt>
                <c:pt idx="24">
                  <c:v>25.0</c:v>
                </c:pt>
                <c:pt idx="25">
                  <c:v>26.0</c:v>
                </c:pt>
                <c:pt idx="26">
                  <c:v>27.0</c:v>
                </c:pt>
                <c:pt idx="27">
                  <c:v>28.0</c:v>
                </c:pt>
                <c:pt idx="28">
                  <c:v>29.0</c:v>
                </c:pt>
                <c:pt idx="29">
                  <c:v>30.0</c:v>
                </c:pt>
                <c:pt idx="30">
                  <c:v>31.0</c:v>
                </c:pt>
                <c:pt idx="31">
                  <c:v>32.0</c:v>
                </c:pt>
                <c:pt idx="32">
                  <c:v>33.0</c:v>
                </c:pt>
                <c:pt idx="33">
                  <c:v>34.0</c:v>
                </c:pt>
              </c:numCache>
            </c:numRef>
          </c:cat>
          <c:val>
            <c:numRef>
              <c:f>Sheet2!$I$3:$I$36</c:f>
              <c:numCache>
                <c:formatCode>General</c:formatCode>
                <c:ptCount val="34"/>
                <c:pt idx="0">
                  <c:v>52.0</c:v>
                </c:pt>
                <c:pt idx="1">
                  <c:v>94.0</c:v>
                </c:pt>
                <c:pt idx="2">
                  <c:v>110.0</c:v>
                </c:pt>
                <c:pt idx="3">
                  <c:v>47.0</c:v>
                </c:pt>
                <c:pt idx="4">
                  <c:v>42.0</c:v>
                </c:pt>
                <c:pt idx="5">
                  <c:v>96.0</c:v>
                </c:pt>
                <c:pt idx="6">
                  <c:v>154.0</c:v>
                </c:pt>
                <c:pt idx="7">
                  <c:v>105.0</c:v>
                </c:pt>
                <c:pt idx="8">
                  <c:v>121.0</c:v>
                </c:pt>
                <c:pt idx="9">
                  <c:v>115.0</c:v>
                </c:pt>
                <c:pt idx="10">
                  <c:v>112.0</c:v>
                </c:pt>
                <c:pt idx="11">
                  <c:v>63.0</c:v>
                </c:pt>
                <c:pt idx="12">
                  <c:v>165.0</c:v>
                </c:pt>
                <c:pt idx="13">
                  <c:v>90.0</c:v>
                </c:pt>
                <c:pt idx="14">
                  <c:v>100.0</c:v>
                </c:pt>
                <c:pt idx="15">
                  <c:v>98.0</c:v>
                </c:pt>
                <c:pt idx="16">
                  <c:v>83.0</c:v>
                </c:pt>
                <c:pt idx="17">
                  <c:v>146.0</c:v>
                </c:pt>
                <c:pt idx="18">
                  <c:v>101.0</c:v>
                </c:pt>
                <c:pt idx="19">
                  <c:v>74.0</c:v>
                </c:pt>
                <c:pt idx="20">
                  <c:v>48.0</c:v>
                </c:pt>
                <c:pt idx="21">
                  <c:v>51.0</c:v>
                </c:pt>
                <c:pt idx="22">
                  <c:v>99.0</c:v>
                </c:pt>
                <c:pt idx="23">
                  <c:v>162.0</c:v>
                </c:pt>
                <c:pt idx="24">
                  <c:v>94.0</c:v>
                </c:pt>
                <c:pt idx="25">
                  <c:v>127.0</c:v>
                </c:pt>
                <c:pt idx="26">
                  <c:v>92.0</c:v>
                </c:pt>
                <c:pt idx="27">
                  <c:v>84.0</c:v>
                </c:pt>
                <c:pt idx="28">
                  <c:v>78.0</c:v>
                </c:pt>
                <c:pt idx="29">
                  <c:v>89.0</c:v>
                </c:pt>
                <c:pt idx="30">
                  <c:v>74.0</c:v>
                </c:pt>
                <c:pt idx="31">
                  <c:v>76.0</c:v>
                </c:pt>
                <c:pt idx="32">
                  <c:v>169.0</c:v>
                </c:pt>
                <c:pt idx="33">
                  <c:v>117.0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031972448"/>
        <c:axId val="-608699504"/>
      </c:barChart>
      <c:catAx>
        <c:axId val="-10319724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600"/>
                  <a:t>Patient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08699504"/>
        <c:crosses val="autoZero"/>
        <c:auto val="1"/>
        <c:lblAlgn val="ctr"/>
        <c:lblOffset val="100"/>
        <c:noMultiLvlLbl val="0"/>
      </c:catAx>
      <c:valAx>
        <c:axId val="-608699504"/>
        <c:scaling>
          <c:orientation val="minMax"/>
          <c:max val="180.0"/>
          <c:min val="0.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600"/>
                  <a:t>Vitamin D Level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031972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2225969246322"/>
          <c:y val="0.0282291783149552"/>
          <c:w val="0.170857770160876"/>
          <c:h val="0.1373210262592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708</Words>
  <Characters>4040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13</cp:revision>
  <cp:lastPrinted>2017-12-06T08:47:00Z</cp:lastPrinted>
  <dcterms:created xsi:type="dcterms:W3CDTF">2017-12-06T22:51:00Z</dcterms:created>
  <dcterms:modified xsi:type="dcterms:W3CDTF">2017-12-12T19:17:00Z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