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283" w:rsidRDefault="008B5283" w:rsidP="008B5283">
      <w:pPr>
        <w:pStyle w:val="Default"/>
      </w:pPr>
      <w:r>
        <w:t xml:space="preserve">Impact of special </w:t>
      </w:r>
      <w:r w:rsidR="00916EC5">
        <w:t>nutrients, GOSh</w:t>
      </w:r>
      <w:r>
        <w:t>, on mammalian aging through sirtuin-mediated longevity</w:t>
      </w:r>
    </w:p>
    <w:p w:rsidR="008B5283" w:rsidRPr="008418B2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color w:val="000000"/>
          <w:sz w:val="17"/>
          <w:szCs w:val="17"/>
        </w:rPr>
      </w:pP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</w:pPr>
      <w:r w:rsidRPr="008418B2">
        <w:rPr>
          <w:rFonts w:ascii="AdvPSA183" w:hAnsi="AdvPSA183" w:cs="AdvPSA183"/>
          <w:color w:val="000000"/>
          <w:sz w:val="17"/>
          <w:szCs w:val="17"/>
        </w:rPr>
        <w:t>Author Block: F. Fatahi, H. khazraei</w:t>
      </w:r>
      <w:proofErr w:type="gramStart"/>
      <w:r w:rsidRPr="008418B2">
        <w:rPr>
          <w:rFonts w:ascii="AdvPSA183" w:hAnsi="AdvPSA183" w:cs="AdvPSA183"/>
          <w:color w:val="000000"/>
          <w:sz w:val="17"/>
          <w:szCs w:val="17"/>
        </w:rPr>
        <w:t>, ,</w:t>
      </w:r>
      <w:proofErr w:type="gramEnd"/>
      <w:r w:rsidRPr="008418B2">
        <w:rPr>
          <w:rFonts w:ascii="AdvPSA183" w:hAnsi="AdvPSA183" w:cs="AdvPSA183"/>
          <w:color w:val="000000"/>
          <w:sz w:val="17"/>
          <w:szCs w:val="17"/>
        </w:rPr>
        <w:t xml:space="preserve"> K. Kihan Ghatreh, Amiri M, M. Hashemzadeh; </w:t>
      </w:r>
      <w:r w:rsidRPr="008418B2">
        <w:rPr>
          <w:rFonts w:ascii="AdvPSA183" w:hAnsi="AdvPSA183" w:cs="AdvPSA183"/>
          <w:color w:val="000000"/>
          <w:sz w:val="17"/>
          <w:szCs w:val="17"/>
        </w:rPr>
        <w:br/>
        <w:t xml:space="preserve">Cell and Molecular Research </w:t>
      </w:r>
      <w:r w:rsidR="00916EC5" w:rsidRPr="008418B2">
        <w:rPr>
          <w:rFonts w:ascii="AdvPSA183" w:hAnsi="AdvPSA183" w:cs="AdvPSA183"/>
          <w:color w:val="000000"/>
          <w:sz w:val="17"/>
          <w:szCs w:val="17"/>
        </w:rPr>
        <w:t>Center, Genetic</w:t>
      </w:r>
      <w:bookmarkStart w:id="0" w:name="_GoBack"/>
      <w:bookmarkEnd w:id="0"/>
      <w:r w:rsidRPr="008418B2">
        <w:rPr>
          <w:rFonts w:ascii="AdvPSA183" w:hAnsi="AdvPSA183" w:cs="AdvPSA183"/>
          <w:color w:val="000000"/>
          <w:sz w:val="17"/>
          <w:szCs w:val="17"/>
        </w:rPr>
        <w:t xml:space="preserve"> department, Shahrekord University of Medical Sciences, Shahrekord, Iran, Islamic Republic of</w:t>
      </w:r>
      <w:r>
        <w:t>.</w:t>
      </w:r>
    </w:p>
    <w:p w:rsidR="008B5283" w:rsidRDefault="008B5283" w:rsidP="008B5283">
      <w:pPr>
        <w:pStyle w:val="Default"/>
      </w:pPr>
    </w:p>
    <w:p w:rsidR="008B5283" w:rsidRPr="008418B2" w:rsidRDefault="008B5283" w:rsidP="008B528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418B2">
        <w:rPr>
          <w:rFonts w:ascii="Times New Roman" w:hAnsi="Times New Roman" w:cs="Times New Roman"/>
          <w:color w:val="000000"/>
          <w:sz w:val="24"/>
          <w:szCs w:val="24"/>
        </w:rPr>
        <w:t>Background and aims:</w:t>
      </w:r>
    </w:p>
    <w:p w:rsidR="008B5283" w:rsidRDefault="008B5283" w:rsidP="008B5283">
      <w:pPr>
        <w:rPr>
          <w:rFonts w:ascii="Frutiger-LightCn" w:hAnsi="Frutiger-LightCn" w:cs="Frutiger-LightCn"/>
          <w:sz w:val="19"/>
          <w:szCs w:val="19"/>
        </w:rPr>
      </w:pP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color w:val="000000"/>
          <w:sz w:val="17"/>
          <w:szCs w:val="17"/>
        </w:rPr>
      </w:pPr>
      <w:r>
        <w:rPr>
          <w:rFonts w:ascii="AdvPSA183" w:hAnsi="AdvPSA183" w:cs="AdvPSA183"/>
          <w:color w:val="000000"/>
          <w:sz w:val="17"/>
          <w:szCs w:val="17"/>
        </w:rPr>
        <w:t>In developed countries, much of the population now survives to the point where chronic age-associated diseases such as</w:t>
      </w:r>
    </w:p>
    <w:p w:rsidR="008B5283" w:rsidRDefault="00547157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color w:val="000000"/>
          <w:sz w:val="17"/>
          <w:szCs w:val="17"/>
        </w:rPr>
      </w:pPr>
      <w:r>
        <w:rPr>
          <w:rFonts w:ascii="AdvPSA183" w:hAnsi="AdvPSA183" w:cs="AdvPSA183"/>
          <w:color w:val="000000"/>
          <w:sz w:val="17"/>
          <w:szCs w:val="17"/>
        </w:rPr>
        <w:t>Cardiovascular</w:t>
      </w:r>
      <w:r w:rsidR="008B5283">
        <w:rPr>
          <w:rFonts w:ascii="AdvPSA183" w:hAnsi="AdvPSA183" w:cs="AdvPSA183"/>
          <w:color w:val="000000"/>
          <w:sz w:val="17"/>
          <w:szCs w:val="17"/>
        </w:rPr>
        <w:t xml:space="preserve"> disease, cancer, diabetes, sarcopenia, osteoporosis, stroke, and kidney disease are major determinants of</w:t>
      </w:r>
    </w:p>
    <w:p w:rsidR="008B5283" w:rsidRDefault="00547157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  <w:r>
        <w:rPr>
          <w:rFonts w:ascii="AdvPSA183" w:hAnsi="AdvPSA183" w:cs="AdvPSA183"/>
          <w:color w:val="000000"/>
          <w:sz w:val="17"/>
          <w:szCs w:val="17"/>
        </w:rPr>
        <w:t>Morbidity</w:t>
      </w:r>
      <w:r w:rsidR="008B5283">
        <w:rPr>
          <w:rFonts w:ascii="AdvPSA183" w:hAnsi="AdvPSA183" w:cs="AdvPSA183"/>
          <w:color w:val="000000"/>
          <w:sz w:val="17"/>
          <w:szCs w:val="17"/>
        </w:rPr>
        <w:t xml:space="preserve"> and mortality.</w:t>
      </w:r>
      <w:r w:rsidR="008B5283" w:rsidRPr="00AD60DE">
        <w:rPr>
          <w:rFonts w:ascii="AdvPSA183" w:hAnsi="AdvPSA183" w:cs="AdvPSA183"/>
          <w:sz w:val="17"/>
          <w:szCs w:val="17"/>
        </w:rPr>
        <w:t xml:space="preserve"> </w:t>
      </w:r>
      <w:r w:rsidR="008B5283">
        <w:rPr>
          <w:rFonts w:ascii="AdvPSA183" w:hAnsi="AdvPSA183" w:cs="AdvPSA183"/>
          <w:sz w:val="17"/>
          <w:szCs w:val="17"/>
        </w:rPr>
        <w:t xml:space="preserve">One of the most conserved and robust phenomena in biology is a progressive decline in mitochondrial function with age, leading to a loss of cellular homeostasis and organismal </w:t>
      </w:r>
      <w:r>
        <w:rPr>
          <w:rFonts w:ascii="AdvPSA183" w:hAnsi="AdvPSA183" w:cs="AdvPSA183"/>
          <w:sz w:val="17"/>
          <w:szCs w:val="17"/>
        </w:rPr>
        <w:t>health. Nutritional</w:t>
      </w:r>
      <w:r w:rsidR="008B5283">
        <w:rPr>
          <w:rFonts w:ascii="AdvPSA183" w:hAnsi="AdvPSA183" w:cs="AdvPSA183"/>
          <w:sz w:val="17"/>
          <w:szCs w:val="17"/>
        </w:rPr>
        <w:t xml:space="preserve"> status like consuming special material which can promote age-related </w:t>
      </w:r>
      <w:r>
        <w:rPr>
          <w:rFonts w:ascii="AdvPSA183" w:hAnsi="AdvPSA183" w:cs="AdvPSA183"/>
          <w:sz w:val="17"/>
          <w:szCs w:val="17"/>
        </w:rPr>
        <w:t>genes, SIR2</w:t>
      </w:r>
      <w:r w:rsidR="008B5283">
        <w:rPr>
          <w:rFonts w:ascii="AdvPSA183" w:hAnsi="AdvPSA183" w:cs="AdvPSA183"/>
          <w:sz w:val="17"/>
          <w:szCs w:val="17"/>
        </w:rPr>
        <w:t>, were stablished .One new recognized material which could have a striking impact on longevity genes expression has been explored on mice.</w:t>
      </w: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</w:p>
    <w:p w:rsidR="008B5283" w:rsidRPr="008418B2" w:rsidRDefault="008B5283" w:rsidP="008B5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418B2">
        <w:rPr>
          <w:rFonts w:ascii="Times New Roman" w:hAnsi="Times New Roman" w:cs="Times New Roman"/>
          <w:color w:val="000000"/>
          <w:sz w:val="24"/>
          <w:szCs w:val="24"/>
        </w:rPr>
        <w:t>Methods:</w:t>
      </w: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  <w:r>
        <w:rPr>
          <w:rFonts w:ascii="AdvPSA183" w:hAnsi="AdvPSA183" w:cs="AdvPSA183"/>
          <w:sz w:val="17"/>
          <w:szCs w:val="17"/>
        </w:rPr>
        <w:t>The extract of three plants</w:t>
      </w:r>
      <w:r w:rsidR="00547157">
        <w:rPr>
          <w:rFonts w:ascii="AdvPSA183" w:hAnsi="AdvPSA183" w:cs="AdvPSA183"/>
          <w:sz w:val="17"/>
          <w:szCs w:val="17"/>
        </w:rPr>
        <w:t>, garlic, onion, shallot (</w:t>
      </w:r>
      <w:r>
        <w:rPr>
          <w:rFonts w:ascii="AdvPSA183" w:hAnsi="AdvPSA183" w:cs="AdvPSA183"/>
          <w:sz w:val="17"/>
          <w:szCs w:val="17"/>
        </w:rPr>
        <w:t>GOSh)</w:t>
      </w:r>
      <w:r w:rsidR="00547157">
        <w:rPr>
          <w:rFonts w:ascii="AdvPSA183" w:hAnsi="AdvPSA183" w:cs="AdvPSA183"/>
          <w:sz w:val="17"/>
          <w:szCs w:val="17"/>
        </w:rPr>
        <w:t>, were</w:t>
      </w:r>
      <w:r>
        <w:rPr>
          <w:rFonts w:ascii="AdvPSA183" w:hAnsi="AdvPSA183" w:cs="AdvPSA183"/>
          <w:sz w:val="17"/>
          <w:szCs w:val="17"/>
        </w:rPr>
        <w:t xml:space="preserve"> prepared and were be used as a special diet for </w:t>
      </w:r>
      <w:r w:rsidR="00547157">
        <w:rPr>
          <w:rFonts w:ascii="AdvPSA183" w:hAnsi="AdvPSA183" w:cs="AdvPSA183"/>
          <w:sz w:val="17"/>
          <w:szCs w:val="17"/>
        </w:rPr>
        <w:t>mice. Cases</w:t>
      </w:r>
      <w:r>
        <w:rPr>
          <w:rFonts w:ascii="AdvPSA183" w:hAnsi="AdvPSA183" w:cs="AdvPSA183"/>
          <w:sz w:val="17"/>
          <w:szCs w:val="17"/>
        </w:rPr>
        <w:t xml:space="preserve"> =100 and control =100.Mithocondreal function</w:t>
      </w:r>
      <w:r w:rsidR="00547157">
        <w:rPr>
          <w:rFonts w:ascii="AdvPSA183" w:hAnsi="AdvPSA183" w:cs="AdvPSA183"/>
          <w:sz w:val="17"/>
          <w:szCs w:val="17"/>
        </w:rPr>
        <w:t xml:space="preserve">, </w:t>
      </w:r>
      <w:proofErr w:type="spellStart"/>
      <w:r w:rsidR="00547157">
        <w:rPr>
          <w:rFonts w:ascii="AdvPSA183" w:hAnsi="AdvPSA183" w:cs="AdvPSA183"/>
          <w:sz w:val="17"/>
          <w:szCs w:val="17"/>
        </w:rPr>
        <w:t>mt</w:t>
      </w:r>
      <w:proofErr w:type="spellEnd"/>
      <w:r>
        <w:rPr>
          <w:rFonts w:ascii="AdvPSA183" w:hAnsi="AdvPSA183" w:cs="AdvPSA183"/>
          <w:sz w:val="17"/>
          <w:szCs w:val="17"/>
        </w:rPr>
        <w:t xml:space="preserve"> DNA </w:t>
      </w:r>
      <w:r w:rsidR="00547157">
        <w:rPr>
          <w:rFonts w:ascii="AdvPSA183" w:hAnsi="AdvPSA183" w:cs="AdvPSA183"/>
          <w:sz w:val="17"/>
          <w:szCs w:val="17"/>
        </w:rPr>
        <w:t>analysis,</w:t>
      </w:r>
      <w:r>
        <w:rPr>
          <w:rFonts w:ascii="AdvPSA183" w:hAnsi="AdvPSA183" w:cs="AdvPSA183"/>
          <w:sz w:val="17"/>
          <w:szCs w:val="17"/>
        </w:rPr>
        <w:t xml:space="preserve"> and gene expression were assessed. </w:t>
      </w: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7157">
        <w:rPr>
          <w:rFonts w:ascii="Times New Roman" w:hAnsi="Times New Roman" w:cs="Times New Roman"/>
          <w:color w:val="000000"/>
          <w:sz w:val="24"/>
          <w:szCs w:val="24"/>
        </w:rPr>
        <w:t>Results:</w:t>
      </w:r>
    </w:p>
    <w:p w:rsidR="00547157" w:rsidRPr="00547157" w:rsidRDefault="00547157" w:rsidP="008B5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  <w:r>
        <w:rPr>
          <w:rFonts w:ascii="AdvPSA183" w:hAnsi="AdvPSA183" w:cs="AdvPSA183"/>
          <w:sz w:val="17"/>
          <w:szCs w:val="17"/>
        </w:rPr>
        <w:t xml:space="preserve">All of the mice have had an age-related disorder .The case group have fed by GOSh for a month without any pharmacological intervention .GOSh-treated mice presented a normal phenotype by mutational </w:t>
      </w:r>
      <w:r w:rsidR="00547157">
        <w:rPr>
          <w:rFonts w:ascii="AdvPSA183" w:hAnsi="AdvPSA183" w:cs="AdvPSA183"/>
          <w:sz w:val="17"/>
          <w:szCs w:val="17"/>
        </w:rPr>
        <w:t>reduction. The</w:t>
      </w:r>
      <w:r>
        <w:rPr>
          <w:rFonts w:ascii="AdvPSA183" w:hAnsi="AdvPSA183" w:cs="AdvPSA183"/>
          <w:sz w:val="17"/>
          <w:szCs w:val="17"/>
        </w:rPr>
        <w:t xml:space="preserve"> mortality rate have had significant difference with non-treated </w:t>
      </w:r>
      <w:r w:rsidR="00547157">
        <w:rPr>
          <w:rFonts w:ascii="AdvPSA183" w:hAnsi="AdvPSA183" w:cs="AdvPSA183"/>
          <w:sz w:val="17"/>
          <w:szCs w:val="17"/>
        </w:rPr>
        <w:t>mice.</w:t>
      </w: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</w:p>
    <w:p w:rsidR="008B5283" w:rsidRPr="008418B2" w:rsidRDefault="008B5283" w:rsidP="008B52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418B2">
        <w:rPr>
          <w:rFonts w:ascii="Times New Roman" w:hAnsi="Times New Roman" w:cs="Times New Roman"/>
          <w:color w:val="000000"/>
          <w:sz w:val="24"/>
          <w:szCs w:val="24"/>
        </w:rPr>
        <w:t>Conclusion:</w:t>
      </w: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  <w:r>
        <w:rPr>
          <w:rFonts w:ascii="AdvPSA183" w:hAnsi="AdvPSA183" w:cs="AdvPSA183"/>
          <w:sz w:val="17"/>
          <w:szCs w:val="17"/>
        </w:rPr>
        <w:t xml:space="preserve">Given that mutational reduction(by stabilizing the genome),measuring the </w:t>
      </w:r>
      <w:r w:rsidR="00547157">
        <w:rPr>
          <w:rFonts w:ascii="AdvPSA183" w:hAnsi="AdvPSA183" w:cs="AdvPSA183"/>
          <w:sz w:val="17"/>
          <w:szCs w:val="17"/>
        </w:rPr>
        <w:t>mitochondrial</w:t>
      </w:r>
      <w:r>
        <w:rPr>
          <w:rFonts w:ascii="AdvPSA183" w:hAnsi="AdvPSA183" w:cs="AdvPSA183"/>
          <w:sz w:val="17"/>
          <w:szCs w:val="17"/>
        </w:rPr>
        <w:t xml:space="preserve"> proteins ,sirtuins, increasing NAD </w:t>
      </w:r>
      <w:r w:rsidR="00547157">
        <w:rPr>
          <w:rFonts w:ascii="AdvPSA183" w:hAnsi="AdvPSA183" w:cs="AdvPSA183"/>
          <w:sz w:val="17"/>
          <w:szCs w:val="17"/>
        </w:rPr>
        <w:t>levels, and</w:t>
      </w:r>
      <w:r>
        <w:rPr>
          <w:rFonts w:ascii="AdvPSA183" w:hAnsi="AdvPSA183" w:cs="AdvPSA183"/>
          <w:sz w:val="17"/>
          <w:szCs w:val="17"/>
        </w:rPr>
        <w:t xml:space="preserve"> age –related gene expression these results suggest that GOSh may slow down the aging.</w:t>
      </w: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</w:p>
    <w:p w:rsidR="008B5283" w:rsidRDefault="008B5283" w:rsidP="008B5283">
      <w:pPr>
        <w:autoSpaceDE w:val="0"/>
        <w:autoSpaceDN w:val="0"/>
        <w:adjustRightInd w:val="0"/>
        <w:spacing w:after="0" w:line="240" w:lineRule="auto"/>
        <w:rPr>
          <w:rFonts w:ascii="AdvPSA183" w:hAnsi="AdvPSA183" w:cs="AdvPSA183"/>
          <w:sz w:val="17"/>
          <w:szCs w:val="17"/>
        </w:rPr>
      </w:pPr>
    </w:p>
    <w:p w:rsidR="008B5283" w:rsidRDefault="008B5283" w:rsidP="008B528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418B2">
        <w:rPr>
          <w:rFonts w:ascii="Times New Roman" w:hAnsi="Times New Roman" w:cs="Times New Roman"/>
          <w:color w:val="000000"/>
          <w:sz w:val="24"/>
          <w:szCs w:val="24"/>
        </w:rPr>
        <w:t>Keywords:</w:t>
      </w:r>
    </w:p>
    <w:p w:rsidR="008B5283" w:rsidRPr="008418B2" w:rsidRDefault="00547157" w:rsidP="008B5283">
      <w:pPr>
        <w:rPr>
          <w:rFonts w:ascii="AdvPSA183" w:hAnsi="AdvPSA183" w:cs="AdvPSA183"/>
          <w:sz w:val="17"/>
          <w:szCs w:val="17"/>
        </w:rPr>
      </w:pPr>
      <w:r w:rsidRPr="008418B2">
        <w:rPr>
          <w:rFonts w:ascii="AdvPSA183" w:hAnsi="AdvPSA183" w:cs="AdvPSA183"/>
          <w:sz w:val="17"/>
          <w:szCs w:val="17"/>
        </w:rPr>
        <w:t>Longevity, Nutrition</w:t>
      </w:r>
      <w:r w:rsidR="008B5283" w:rsidRPr="008418B2">
        <w:rPr>
          <w:rFonts w:ascii="AdvPSA183" w:hAnsi="AdvPSA183" w:cs="AdvPSA183"/>
          <w:sz w:val="17"/>
          <w:szCs w:val="17"/>
        </w:rPr>
        <w:t>, Sirtuins</w:t>
      </w:r>
      <w:r w:rsidRPr="008418B2">
        <w:rPr>
          <w:rFonts w:ascii="AdvPSA183" w:hAnsi="AdvPSA183" w:cs="AdvPSA183"/>
          <w:sz w:val="17"/>
          <w:szCs w:val="17"/>
        </w:rPr>
        <w:t>, Case</w:t>
      </w:r>
      <w:r w:rsidR="008B5283" w:rsidRPr="008418B2">
        <w:rPr>
          <w:rFonts w:ascii="AdvPSA183" w:hAnsi="AdvPSA183" w:cs="AdvPSA183"/>
          <w:sz w:val="17"/>
          <w:szCs w:val="17"/>
        </w:rPr>
        <w:t xml:space="preserve"> control study</w:t>
      </w:r>
    </w:p>
    <w:p w:rsidR="00C4613D" w:rsidRDefault="00C4613D"/>
    <w:sectPr w:rsidR="00C46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SA18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Light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283"/>
    <w:rsid w:val="00547157"/>
    <w:rsid w:val="008B5283"/>
    <w:rsid w:val="00916EC5"/>
    <w:rsid w:val="00C4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3CD207-C54F-44FB-8FC4-A3A576CEA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B52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Nashmil</dc:creator>
  <cp:keywords/>
  <dc:description/>
  <cp:lastModifiedBy>Nashmil</cp:lastModifiedBy>
  <cp:revision>3</cp:revision>
  <dcterms:created xsi:type="dcterms:W3CDTF">2017-02-07T15:10:00Z</dcterms:created>
  <dcterms:modified xsi:type="dcterms:W3CDTF">2017-02-07T15:14:00Z</dcterms:modified>
</cp:coreProperties>
</file>