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0D5CDF" w:rsidP="00494130">
      <w:pPr>
        <w:pStyle w:val="Titre1"/>
        <w:spacing w:before="170"/>
        <w:ind w:left="0"/>
      </w:pPr>
      <w:r>
        <w:rPr>
          <w:color w:val="337AB7"/>
        </w:rPr>
        <w:t>F</w:t>
      </w:r>
      <w:r w:rsidR="009462E0">
        <w:rPr>
          <w:color w:val="337AB7"/>
        </w:rPr>
        <w:t>illing a</w:t>
      </w:r>
      <w:r w:rsidR="00D22AE0">
        <w:rPr>
          <w:color w:val="337AB7"/>
        </w:rPr>
        <w:t xml:space="preserve"> pillbox</w:t>
      </w:r>
      <w:r>
        <w:rPr>
          <w:color w:val="337AB7"/>
        </w:rPr>
        <w:t xml:space="preserve"> from a </w:t>
      </w:r>
      <w:r w:rsidR="00410E46">
        <w:rPr>
          <w:color w:val="337AB7"/>
        </w:rPr>
        <w:t xml:space="preserve">medication </w:t>
      </w:r>
      <w:r>
        <w:rPr>
          <w:color w:val="337AB7"/>
        </w:rPr>
        <w:t>prescription displayed on a tablet</w:t>
      </w:r>
      <w:r w:rsidR="00D22AE0">
        <w:rPr>
          <w:color w:val="337AB7"/>
        </w:rPr>
        <w:t>: Impact of</w:t>
      </w:r>
      <w:r w:rsidR="009B060F">
        <w:rPr>
          <w:color w:val="337AB7"/>
        </w:rPr>
        <w:t xml:space="preserve"> </w:t>
      </w:r>
      <w:r w:rsidR="00B32721">
        <w:rPr>
          <w:color w:val="337AB7"/>
        </w:rPr>
        <w:t>pre</w:t>
      </w:r>
      <w:r w:rsidR="00B12139">
        <w:rPr>
          <w:color w:val="337AB7"/>
        </w:rPr>
        <w:t>sentation</w:t>
      </w:r>
      <w:r w:rsidR="00B32721">
        <w:rPr>
          <w:color w:val="337AB7"/>
        </w:rPr>
        <w:t xml:space="preserve"> </w:t>
      </w:r>
      <w:r w:rsidR="009B060F">
        <w:rPr>
          <w:color w:val="337AB7"/>
        </w:rPr>
        <w:t>formats</w:t>
      </w:r>
      <w:r w:rsidR="00D22AE0">
        <w:rPr>
          <w:color w:val="337AB7"/>
        </w:rPr>
        <w:t xml:space="preserve"> </w:t>
      </w:r>
      <w:r w:rsidR="00974C32">
        <w:rPr>
          <w:color w:val="337AB7"/>
        </w:rPr>
        <w:t>in young</w:t>
      </w:r>
      <w:r w:rsidR="00D22AE0">
        <w:rPr>
          <w:color w:val="337AB7"/>
        </w:rPr>
        <w:t xml:space="preserve"> and older adults</w:t>
      </w:r>
    </w:p>
    <w:p w:rsidR="00B12139" w:rsidRPr="00410E46" w:rsidRDefault="00B12139" w:rsidP="005973B9">
      <w:pPr>
        <w:pStyle w:val="Corpsdetexte"/>
        <w:spacing w:before="73" w:line="198" w:lineRule="exact"/>
        <w:ind w:left="100" w:right="5987"/>
        <w:rPr>
          <w:rFonts w:ascii="Arial" w:hAnsi="Arial" w:cs="Arial"/>
        </w:rPr>
      </w:pPr>
    </w:p>
    <w:p w:rsidR="00604003" w:rsidRPr="00604003" w:rsidRDefault="00B12263" w:rsidP="005973B9">
      <w:pPr>
        <w:pStyle w:val="Corpsdetexte"/>
        <w:spacing w:before="73" w:line="198" w:lineRule="exact"/>
        <w:ind w:left="100" w:right="5987"/>
        <w:rPr>
          <w:rFonts w:ascii="Arial" w:hAnsi="Arial" w:cs="Arial"/>
          <w:lang w:val="fr-FR"/>
        </w:rPr>
      </w:pPr>
      <w:r w:rsidRPr="00604003">
        <w:rPr>
          <w:rFonts w:ascii="Arial" w:hAnsi="Arial" w:cs="Arial"/>
          <w:lang w:val="fr-FR"/>
        </w:rPr>
        <w:t xml:space="preserve">Élodie </w:t>
      </w:r>
      <w:proofErr w:type="spellStart"/>
      <w:r w:rsidRPr="00604003">
        <w:rPr>
          <w:rFonts w:ascii="Arial" w:hAnsi="Arial" w:cs="Arial"/>
          <w:lang w:val="fr-FR"/>
        </w:rPr>
        <w:t>Vandenbergh</w:t>
      </w:r>
      <w:proofErr w:type="spellEnd"/>
      <w:r w:rsidRPr="00604003">
        <w:rPr>
          <w:rFonts w:ascii="Arial" w:hAnsi="Arial" w:cs="Arial"/>
          <w:lang w:val="fr-FR"/>
        </w:rPr>
        <w:t xml:space="preserve">, </w:t>
      </w:r>
      <w:r w:rsidR="00604003" w:rsidRPr="00604003">
        <w:rPr>
          <w:rFonts w:ascii="Arial" w:hAnsi="Arial" w:cs="Arial"/>
          <w:lang w:val="fr-FR"/>
        </w:rPr>
        <w:t xml:space="preserve">Mathieu </w:t>
      </w:r>
      <w:proofErr w:type="spellStart"/>
      <w:r w:rsidR="00604003" w:rsidRPr="00604003">
        <w:rPr>
          <w:rFonts w:ascii="Arial" w:hAnsi="Arial" w:cs="Arial"/>
          <w:lang w:val="fr-FR"/>
        </w:rPr>
        <w:t>Hainselin</w:t>
      </w:r>
      <w:proofErr w:type="spellEnd"/>
      <w:r w:rsidR="00604003" w:rsidRPr="00604003">
        <w:rPr>
          <w:rFonts w:ascii="Arial" w:hAnsi="Arial" w:cs="Arial"/>
          <w:lang w:val="fr-FR"/>
        </w:rPr>
        <w:t xml:space="preserve">, Véronique </w:t>
      </w:r>
      <w:proofErr w:type="spellStart"/>
      <w:r w:rsidR="00604003">
        <w:rPr>
          <w:rFonts w:ascii="Arial" w:hAnsi="Arial" w:cs="Arial"/>
          <w:lang w:val="fr-FR"/>
        </w:rPr>
        <w:t>Quaglino</w:t>
      </w:r>
      <w:proofErr w:type="spellEnd"/>
      <w:r w:rsidR="00604003" w:rsidRPr="00604003">
        <w:rPr>
          <w:rFonts w:ascii="Arial" w:hAnsi="Arial" w:cs="Arial"/>
          <w:lang w:val="fr-FR"/>
        </w:rPr>
        <w:t xml:space="preserve">, Harold </w:t>
      </w:r>
      <w:proofErr w:type="spellStart"/>
      <w:r w:rsidR="00604003" w:rsidRPr="00604003">
        <w:rPr>
          <w:rFonts w:ascii="Arial" w:hAnsi="Arial" w:cs="Arial"/>
          <w:lang w:val="fr-FR"/>
        </w:rPr>
        <w:t>Mouras</w:t>
      </w:r>
      <w:proofErr w:type="spellEnd"/>
      <w:r w:rsidR="00604003" w:rsidRPr="00604003">
        <w:rPr>
          <w:rFonts w:ascii="Arial" w:hAnsi="Arial" w:cs="Arial"/>
          <w:lang w:val="fr-FR"/>
        </w:rPr>
        <w:t xml:space="preserve"> &amp; Laurent </w:t>
      </w:r>
      <w:proofErr w:type="spellStart"/>
      <w:r w:rsidR="00604003" w:rsidRPr="00604003">
        <w:rPr>
          <w:rFonts w:ascii="Arial" w:hAnsi="Arial" w:cs="Arial"/>
          <w:lang w:val="fr-FR"/>
        </w:rPr>
        <w:t>Heurley</w:t>
      </w:r>
      <w:proofErr w:type="spellEnd"/>
      <w:r w:rsidR="00604003" w:rsidRPr="00604003">
        <w:rPr>
          <w:rFonts w:ascii="Arial" w:hAnsi="Arial" w:cs="Arial"/>
          <w:lang w:val="fr-FR"/>
        </w:rPr>
        <w:t xml:space="preserve"> </w:t>
      </w:r>
    </w:p>
    <w:p w:rsidR="005973B9" w:rsidRPr="00604003" w:rsidRDefault="00B12263" w:rsidP="005973B9">
      <w:pPr>
        <w:pStyle w:val="Corpsdetexte"/>
        <w:spacing w:before="73" w:line="198" w:lineRule="exact"/>
        <w:ind w:left="100" w:right="5987"/>
        <w:rPr>
          <w:rFonts w:ascii="Arial" w:hAnsi="Arial" w:cs="Arial"/>
          <w:lang w:val="fr-FR"/>
        </w:rPr>
      </w:pPr>
      <w:r w:rsidRPr="00604003">
        <w:rPr>
          <w:rFonts w:ascii="Arial" w:hAnsi="Arial" w:cs="Arial"/>
          <w:lang w:val="fr-FR"/>
        </w:rPr>
        <w:t>CRP-CPO EA 7273, Universit</w:t>
      </w:r>
      <w:r w:rsidR="00604003" w:rsidRPr="00604003">
        <w:rPr>
          <w:rFonts w:ascii="Arial" w:hAnsi="Arial" w:cs="Arial"/>
          <w:lang w:val="fr-FR"/>
        </w:rPr>
        <w:t>é de Picardie</w:t>
      </w:r>
      <w:r w:rsidR="00604003">
        <w:rPr>
          <w:rFonts w:ascii="Arial" w:hAnsi="Arial" w:cs="Arial"/>
          <w:lang w:val="fr-FR"/>
        </w:rPr>
        <w:t xml:space="preserve"> Jules Verne</w:t>
      </w:r>
      <w:r w:rsidRPr="00604003">
        <w:rPr>
          <w:rFonts w:ascii="Arial" w:hAnsi="Arial" w:cs="Arial"/>
          <w:lang w:val="fr-FR"/>
        </w:rPr>
        <w:t>, France</w:t>
      </w:r>
    </w:p>
    <w:p w:rsidR="00AE3E37" w:rsidRPr="009462E0" w:rsidRDefault="00AE3E37">
      <w:pPr>
        <w:rPr>
          <w:rFonts w:ascii="Arial"/>
          <w:sz w:val="21"/>
          <w:lang w:val="fr-FR"/>
        </w:rPr>
        <w:sectPr w:rsidR="00AE3E37" w:rsidRPr="009462E0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B12139">
      <w:pPr>
        <w:pStyle w:val="Titre3"/>
        <w:spacing w:before="147"/>
        <w:ind w:left="0"/>
        <w:jc w:val="both"/>
      </w:pPr>
      <w:r>
        <w:rPr>
          <w:color w:val="BF5A14"/>
        </w:rPr>
        <w:lastRenderedPageBreak/>
        <w:t>Abstract</w:t>
      </w:r>
    </w:p>
    <w:p w:rsidR="00B12139" w:rsidRDefault="00B12139" w:rsidP="00BF703B">
      <w:pPr>
        <w:jc w:val="both"/>
        <w:rPr>
          <w:b/>
          <w:sz w:val="20"/>
          <w:szCs w:val="20"/>
        </w:rPr>
      </w:pPr>
    </w:p>
    <w:p w:rsidR="00BF703B" w:rsidRPr="00B12139" w:rsidRDefault="00A9710C" w:rsidP="00BF703B">
      <w:pPr>
        <w:jc w:val="both"/>
        <w:rPr>
          <w:sz w:val="20"/>
          <w:szCs w:val="20"/>
        </w:rPr>
      </w:pPr>
      <w:r w:rsidRPr="00B12139">
        <w:rPr>
          <w:b/>
          <w:sz w:val="20"/>
          <w:szCs w:val="20"/>
        </w:rPr>
        <w:t>Statement of the Problem:</w:t>
      </w:r>
      <w:r w:rsidRPr="00B12139">
        <w:rPr>
          <w:sz w:val="20"/>
          <w:szCs w:val="20"/>
        </w:rPr>
        <w:t xml:space="preserve"> </w:t>
      </w:r>
      <w:r w:rsidR="009462E0" w:rsidRPr="00B12139">
        <w:rPr>
          <w:sz w:val="20"/>
          <w:szCs w:val="20"/>
        </w:rPr>
        <w:t xml:space="preserve">Medication non-adherence in older </w:t>
      </w:r>
      <w:r w:rsidR="00410E46">
        <w:rPr>
          <w:sz w:val="20"/>
          <w:szCs w:val="20"/>
        </w:rPr>
        <w:t>adults</w:t>
      </w:r>
      <w:r w:rsidR="009462E0" w:rsidRPr="00B12139">
        <w:rPr>
          <w:sz w:val="20"/>
          <w:szCs w:val="20"/>
        </w:rPr>
        <w:t xml:space="preserve"> is frequent. </w:t>
      </w:r>
      <w:r w:rsidR="001F79D2" w:rsidRPr="00B12139">
        <w:rPr>
          <w:sz w:val="20"/>
          <w:szCs w:val="20"/>
        </w:rPr>
        <w:t xml:space="preserve">The fact that </w:t>
      </w:r>
      <w:r w:rsidR="00410E46">
        <w:rPr>
          <w:sz w:val="20"/>
          <w:szCs w:val="20"/>
        </w:rPr>
        <w:t xml:space="preserve">they don’t take </w:t>
      </w:r>
      <w:r w:rsidR="001F79D2" w:rsidRPr="00B12139">
        <w:rPr>
          <w:sz w:val="20"/>
          <w:szCs w:val="20"/>
        </w:rPr>
        <w:t xml:space="preserve">drugs as prescribed is </w:t>
      </w:r>
      <w:r w:rsidR="005A4826" w:rsidRPr="00B12139">
        <w:rPr>
          <w:sz w:val="20"/>
          <w:szCs w:val="20"/>
        </w:rPr>
        <w:t xml:space="preserve">partly </w:t>
      </w:r>
      <w:r w:rsidR="001F79D2" w:rsidRPr="00B12139">
        <w:rPr>
          <w:sz w:val="20"/>
          <w:szCs w:val="20"/>
        </w:rPr>
        <w:t>cause</w:t>
      </w:r>
      <w:r w:rsidR="00373487" w:rsidRPr="00B12139">
        <w:rPr>
          <w:sz w:val="20"/>
          <w:szCs w:val="20"/>
        </w:rPr>
        <w:t xml:space="preserve">d by </w:t>
      </w:r>
      <w:r w:rsidR="0060755E" w:rsidRPr="00B12139">
        <w:rPr>
          <w:sz w:val="20"/>
          <w:szCs w:val="20"/>
        </w:rPr>
        <w:t>age-related</w:t>
      </w:r>
      <w:r w:rsidR="005A4826" w:rsidRPr="00B12139">
        <w:rPr>
          <w:sz w:val="20"/>
          <w:szCs w:val="20"/>
        </w:rPr>
        <w:t>,</w:t>
      </w:r>
      <w:r w:rsidR="00F50AF0" w:rsidRPr="00B12139">
        <w:rPr>
          <w:sz w:val="20"/>
          <w:szCs w:val="20"/>
        </w:rPr>
        <w:t xml:space="preserve"> </w:t>
      </w:r>
      <w:r w:rsidR="0060755E" w:rsidRPr="00B12139">
        <w:rPr>
          <w:sz w:val="20"/>
          <w:szCs w:val="20"/>
        </w:rPr>
        <w:t>prescription-related</w:t>
      </w:r>
      <w:r w:rsidR="00B32721" w:rsidRPr="00B12139">
        <w:rPr>
          <w:sz w:val="20"/>
          <w:szCs w:val="20"/>
        </w:rPr>
        <w:t>,</w:t>
      </w:r>
      <w:r w:rsidR="00F50AF0" w:rsidRPr="00B12139">
        <w:rPr>
          <w:sz w:val="20"/>
          <w:szCs w:val="20"/>
        </w:rPr>
        <w:t xml:space="preserve"> and </w:t>
      </w:r>
      <w:r w:rsidR="0060755E" w:rsidRPr="00B12139">
        <w:rPr>
          <w:sz w:val="20"/>
          <w:szCs w:val="20"/>
        </w:rPr>
        <w:t>communication</w:t>
      </w:r>
      <w:r w:rsidR="00A00595" w:rsidRPr="00B12139">
        <w:rPr>
          <w:sz w:val="20"/>
          <w:szCs w:val="20"/>
        </w:rPr>
        <w:t>-rel</w:t>
      </w:r>
      <w:r w:rsidR="00765F97" w:rsidRPr="00B12139">
        <w:rPr>
          <w:sz w:val="20"/>
          <w:szCs w:val="20"/>
        </w:rPr>
        <w:t>ated factors</w:t>
      </w:r>
      <w:r w:rsidR="0060755E" w:rsidRPr="00B12139">
        <w:rPr>
          <w:sz w:val="20"/>
          <w:szCs w:val="20"/>
        </w:rPr>
        <w:t>.</w:t>
      </w:r>
      <w:r w:rsidR="00765F97" w:rsidRPr="00B12139">
        <w:rPr>
          <w:sz w:val="20"/>
          <w:szCs w:val="20"/>
        </w:rPr>
        <w:t xml:space="preserve"> </w:t>
      </w:r>
      <w:r w:rsidR="005A4826" w:rsidRPr="00B12139">
        <w:rPr>
          <w:sz w:val="20"/>
          <w:szCs w:val="20"/>
        </w:rPr>
        <w:t>If acting on age-related and prescription-related factors</w:t>
      </w:r>
      <w:r w:rsidR="00410E46">
        <w:rPr>
          <w:sz w:val="20"/>
          <w:szCs w:val="20"/>
        </w:rPr>
        <w:t xml:space="preserve"> is not easy</w:t>
      </w:r>
      <w:r w:rsidR="005A4826" w:rsidRPr="00B12139">
        <w:rPr>
          <w:sz w:val="20"/>
          <w:szCs w:val="20"/>
        </w:rPr>
        <w:t xml:space="preserve">, in contrast, it </w:t>
      </w:r>
      <w:r w:rsidR="00410E46">
        <w:rPr>
          <w:sz w:val="20"/>
          <w:szCs w:val="20"/>
        </w:rPr>
        <w:t>is possible</w:t>
      </w:r>
      <w:r w:rsidR="005A4826" w:rsidRPr="00B12139">
        <w:rPr>
          <w:sz w:val="20"/>
          <w:szCs w:val="20"/>
        </w:rPr>
        <w:t xml:space="preserve"> to modulate communication-related factors by adopting a patient-centered approach. For instance, s</w:t>
      </w:r>
      <w:r w:rsidR="00765F97" w:rsidRPr="00B12139">
        <w:rPr>
          <w:sz w:val="20"/>
          <w:szCs w:val="20"/>
        </w:rPr>
        <w:t>ome r</w:t>
      </w:r>
      <w:r w:rsidR="008B15E4" w:rsidRPr="00B12139">
        <w:rPr>
          <w:sz w:val="20"/>
          <w:szCs w:val="20"/>
        </w:rPr>
        <w:t xml:space="preserve">ecent studies suggest </w:t>
      </w:r>
      <w:r w:rsidR="005A4826" w:rsidRPr="00B12139">
        <w:rPr>
          <w:sz w:val="20"/>
          <w:szCs w:val="20"/>
        </w:rPr>
        <w:t xml:space="preserve">that </w:t>
      </w:r>
      <w:r w:rsidR="00000B32" w:rsidRPr="00B12139">
        <w:rPr>
          <w:sz w:val="20"/>
          <w:szCs w:val="20"/>
        </w:rPr>
        <w:t xml:space="preserve">communicating prescriptions to elderly patients </w:t>
      </w:r>
      <w:r w:rsidR="005A4826" w:rsidRPr="00B12139">
        <w:rPr>
          <w:sz w:val="20"/>
          <w:szCs w:val="20"/>
        </w:rPr>
        <w:t xml:space="preserve">is facilitated when </w:t>
      </w:r>
      <w:r w:rsidR="00765F97" w:rsidRPr="00B12139">
        <w:rPr>
          <w:sz w:val="20"/>
          <w:szCs w:val="20"/>
        </w:rPr>
        <w:t xml:space="preserve">pictorial and table formats </w:t>
      </w:r>
      <w:r w:rsidR="005A4826" w:rsidRPr="00B12139">
        <w:rPr>
          <w:sz w:val="20"/>
          <w:szCs w:val="20"/>
        </w:rPr>
        <w:t>are used in comparison with classical ones</w:t>
      </w:r>
      <w:r w:rsidR="00765F97" w:rsidRPr="00B12139">
        <w:rPr>
          <w:sz w:val="20"/>
          <w:szCs w:val="20"/>
        </w:rPr>
        <w:t xml:space="preserve">. Surprisingly, most of </w:t>
      </w:r>
      <w:r w:rsidR="00000B32" w:rsidRPr="00B12139">
        <w:rPr>
          <w:sz w:val="20"/>
          <w:szCs w:val="20"/>
        </w:rPr>
        <w:t xml:space="preserve">the </w:t>
      </w:r>
      <w:r w:rsidR="005A4826" w:rsidRPr="00B12139">
        <w:rPr>
          <w:sz w:val="20"/>
          <w:szCs w:val="20"/>
        </w:rPr>
        <w:t xml:space="preserve">available </w:t>
      </w:r>
      <w:r w:rsidR="00765F97" w:rsidRPr="00B12139">
        <w:rPr>
          <w:sz w:val="20"/>
          <w:szCs w:val="20"/>
        </w:rPr>
        <w:t xml:space="preserve">data have been collected in studies using classical </w:t>
      </w:r>
      <w:r w:rsidR="000D5CDF" w:rsidRPr="00B12139">
        <w:rPr>
          <w:sz w:val="20"/>
          <w:szCs w:val="20"/>
        </w:rPr>
        <w:t>supports</w:t>
      </w:r>
      <w:r w:rsidR="00765F97" w:rsidRPr="00B12139">
        <w:rPr>
          <w:sz w:val="20"/>
          <w:szCs w:val="20"/>
        </w:rPr>
        <w:t xml:space="preserve"> </w:t>
      </w:r>
      <w:r w:rsidR="000D5CDF" w:rsidRPr="00B12139">
        <w:rPr>
          <w:sz w:val="20"/>
          <w:szCs w:val="20"/>
        </w:rPr>
        <w:t>(</w:t>
      </w:r>
      <w:r w:rsidR="00765F97" w:rsidRPr="00B12139">
        <w:rPr>
          <w:sz w:val="20"/>
          <w:szCs w:val="20"/>
        </w:rPr>
        <w:t xml:space="preserve">paper </w:t>
      </w:r>
      <w:r w:rsidR="000D5CDF" w:rsidRPr="00B12139">
        <w:rPr>
          <w:sz w:val="20"/>
          <w:szCs w:val="20"/>
        </w:rPr>
        <w:t>or</w:t>
      </w:r>
      <w:r w:rsidR="00765F97" w:rsidRPr="00B12139">
        <w:rPr>
          <w:sz w:val="20"/>
          <w:szCs w:val="20"/>
        </w:rPr>
        <w:t xml:space="preserve"> computer</w:t>
      </w:r>
      <w:r w:rsidR="005A4826" w:rsidRPr="00B12139">
        <w:rPr>
          <w:sz w:val="20"/>
          <w:szCs w:val="20"/>
        </w:rPr>
        <w:t>s</w:t>
      </w:r>
      <w:r w:rsidR="000D5CDF" w:rsidRPr="00B12139">
        <w:rPr>
          <w:sz w:val="20"/>
          <w:szCs w:val="20"/>
        </w:rPr>
        <w:t>)</w:t>
      </w:r>
      <w:r w:rsidR="005A4826" w:rsidRPr="00B12139">
        <w:rPr>
          <w:sz w:val="20"/>
          <w:szCs w:val="20"/>
        </w:rPr>
        <w:t>, but</w:t>
      </w:r>
      <w:r w:rsidR="00765F97" w:rsidRPr="00B12139">
        <w:rPr>
          <w:sz w:val="20"/>
          <w:szCs w:val="20"/>
        </w:rPr>
        <w:t xml:space="preserve"> very few with </w:t>
      </w:r>
      <w:r w:rsidR="00000B32" w:rsidRPr="00B12139">
        <w:rPr>
          <w:sz w:val="20"/>
          <w:szCs w:val="20"/>
        </w:rPr>
        <w:t>tablets</w:t>
      </w:r>
      <w:r w:rsidR="00860FD3">
        <w:rPr>
          <w:sz w:val="20"/>
          <w:szCs w:val="20"/>
        </w:rPr>
        <w:t xml:space="preserve"> or touch-screen devices</w:t>
      </w:r>
      <w:r w:rsidR="00000B32" w:rsidRPr="00B12139">
        <w:rPr>
          <w:sz w:val="20"/>
          <w:szCs w:val="20"/>
        </w:rPr>
        <w:t xml:space="preserve">. </w:t>
      </w:r>
      <w:r w:rsidR="000D5CDF" w:rsidRPr="00B12139">
        <w:rPr>
          <w:sz w:val="20"/>
          <w:szCs w:val="20"/>
        </w:rPr>
        <w:t>Our</w:t>
      </w:r>
      <w:r w:rsidR="00B32721" w:rsidRPr="00B12139">
        <w:rPr>
          <w:rFonts w:cs="CMR10"/>
          <w:sz w:val="20"/>
          <w:szCs w:val="20"/>
        </w:rPr>
        <w:t xml:space="preserve"> </w:t>
      </w:r>
      <w:r w:rsidR="000D5CDF" w:rsidRPr="00B12139">
        <w:rPr>
          <w:rFonts w:cs="CMR10"/>
          <w:sz w:val="20"/>
          <w:szCs w:val="20"/>
        </w:rPr>
        <w:t>main</w:t>
      </w:r>
      <w:r w:rsidR="00785CA8" w:rsidRPr="00B12139">
        <w:rPr>
          <w:rFonts w:cs="CMR10"/>
          <w:sz w:val="20"/>
          <w:szCs w:val="20"/>
        </w:rPr>
        <w:t xml:space="preserve"> objective </w:t>
      </w:r>
      <w:r w:rsidR="00B32721" w:rsidRPr="00B12139">
        <w:rPr>
          <w:rFonts w:cs="CMR10"/>
          <w:sz w:val="20"/>
          <w:szCs w:val="20"/>
        </w:rPr>
        <w:t>wa</w:t>
      </w:r>
      <w:r w:rsidR="00881A23" w:rsidRPr="00B12139">
        <w:rPr>
          <w:rFonts w:cs="CMR10"/>
          <w:sz w:val="20"/>
          <w:szCs w:val="20"/>
        </w:rPr>
        <w:t>s to analyze experimentally</w:t>
      </w:r>
      <w:r w:rsidR="00000B32" w:rsidRPr="00B12139">
        <w:rPr>
          <w:rFonts w:cs="CMR10"/>
          <w:sz w:val="20"/>
          <w:szCs w:val="20"/>
        </w:rPr>
        <w:t xml:space="preserve"> </w:t>
      </w:r>
      <w:r w:rsidR="00785CA8" w:rsidRPr="00B12139">
        <w:rPr>
          <w:rFonts w:cs="CMR10"/>
          <w:sz w:val="20"/>
          <w:szCs w:val="20"/>
        </w:rPr>
        <w:t xml:space="preserve">the impact of two presentation formats (table vs. sheet) on </w:t>
      </w:r>
      <w:r w:rsidR="00000B32" w:rsidRPr="00B12139">
        <w:rPr>
          <w:rFonts w:cs="CMR10"/>
          <w:sz w:val="20"/>
          <w:szCs w:val="20"/>
        </w:rPr>
        <w:t xml:space="preserve">older and </w:t>
      </w:r>
      <w:r w:rsidR="00000B32" w:rsidRPr="00B12139">
        <w:rPr>
          <w:rFonts w:cs="CMR10"/>
          <w:sz w:val="20"/>
          <w:szCs w:val="20"/>
        </w:rPr>
        <w:t>young adult’s behavior while</w:t>
      </w:r>
      <w:r w:rsidR="00785CA8" w:rsidRPr="00B12139">
        <w:rPr>
          <w:rFonts w:cs="CMR10"/>
          <w:sz w:val="20"/>
          <w:szCs w:val="20"/>
        </w:rPr>
        <w:t xml:space="preserve"> </w:t>
      </w:r>
      <w:r w:rsidR="00410E46">
        <w:rPr>
          <w:rFonts w:cs="CMR10"/>
          <w:sz w:val="20"/>
          <w:szCs w:val="20"/>
        </w:rPr>
        <w:t>studying</w:t>
      </w:r>
      <w:r w:rsidR="00000B32" w:rsidRPr="00B12139">
        <w:rPr>
          <w:rFonts w:cs="CMR10"/>
          <w:sz w:val="20"/>
          <w:szCs w:val="20"/>
        </w:rPr>
        <w:t xml:space="preserve"> a medication prescription </w:t>
      </w:r>
      <w:r w:rsidR="00000B32" w:rsidRPr="00B12139">
        <w:rPr>
          <w:rFonts w:cs="CMR10"/>
          <w:sz w:val="20"/>
          <w:szCs w:val="20"/>
        </w:rPr>
        <w:t>on a tablet</w:t>
      </w:r>
      <w:r w:rsidR="00653E91" w:rsidRPr="00B12139">
        <w:rPr>
          <w:rFonts w:cs="CMR10"/>
          <w:sz w:val="20"/>
          <w:szCs w:val="20"/>
        </w:rPr>
        <w:t>,</w:t>
      </w:r>
      <w:r w:rsidR="00000B32" w:rsidRPr="00B12139">
        <w:rPr>
          <w:rFonts w:cs="CMR10"/>
          <w:sz w:val="20"/>
          <w:szCs w:val="20"/>
        </w:rPr>
        <w:t xml:space="preserve"> </w:t>
      </w:r>
      <w:r w:rsidR="00785CA8" w:rsidRPr="00B12139">
        <w:rPr>
          <w:rFonts w:cs="CMR10"/>
          <w:sz w:val="20"/>
          <w:szCs w:val="20"/>
        </w:rPr>
        <w:t>and</w:t>
      </w:r>
      <w:r w:rsidR="00653E91" w:rsidRPr="00B12139">
        <w:rPr>
          <w:rFonts w:cs="CMR10"/>
          <w:sz w:val="20"/>
          <w:szCs w:val="20"/>
        </w:rPr>
        <w:t xml:space="preserve"> when</w:t>
      </w:r>
      <w:r w:rsidR="00785CA8" w:rsidRPr="00B12139">
        <w:rPr>
          <w:rFonts w:cs="CMR10"/>
          <w:sz w:val="20"/>
          <w:szCs w:val="20"/>
        </w:rPr>
        <w:t xml:space="preserve"> filling a pillbox </w:t>
      </w:r>
      <w:r w:rsidR="000D5CDF" w:rsidRPr="00B12139">
        <w:rPr>
          <w:rFonts w:cs="CMR10"/>
          <w:sz w:val="20"/>
          <w:szCs w:val="20"/>
        </w:rPr>
        <w:t>afterwards</w:t>
      </w:r>
      <w:r w:rsidR="00785CA8" w:rsidRPr="00B12139">
        <w:rPr>
          <w:rFonts w:cs="CMR10"/>
          <w:sz w:val="20"/>
          <w:szCs w:val="20"/>
        </w:rPr>
        <w:t>.</w:t>
      </w:r>
      <w:r w:rsidR="00B12139" w:rsidRPr="00B12139">
        <w:rPr>
          <w:rFonts w:cs="CMR10"/>
          <w:sz w:val="20"/>
          <w:szCs w:val="20"/>
        </w:rPr>
        <w:t xml:space="preserve"> A facilitating effect of the table format was </w:t>
      </w:r>
      <w:r w:rsidR="00860FD3">
        <w:rPr>
          <w:rFonts w:cs="CMR10"/>
          <w:sz w:val="20"/>
          <w:szCs w:val="20"/>
        </w:rPr>
        <w:t>hypothesized</w:t>
      </w:r>
      <w:r w:rsidR="00B12139" w:rsidRPr="00B12139">
        <w:rPr>
          <w:rFonts w:cs="CMR10"/>
          <w:sz w:val="20"/>
          <w:szCs w:val="20"/>
        </w:rPr>
        <w:t>.</w:t>
      </w:r>
    </w:p>
    <w:p w:rsidR="00AE3E37" w:rsidRPr="00DD07F8" w:rsidRDefault="00310CDA" w:rsidP="00BF703B">
      <w:pPr>
        <w:jc w:val="both"/>
        <w:rPr>
          <w:sz w:val="20"/>
          <w:szCs w:val="20"/>
        </w:rPr>
      </w:pPr>
      <w:r w:rsidRPr="00B12139">
        <w:rPr>
          <w:b/>
          <w:sz w:val="20"/>
          <w:szCs w:val="20"/>
        </w:rPr>
        <w:t>Methodology &amp;</w:t>
      </w:r>
      <w:r w:rsidR="00BF703B" w:rsidRPr="00B12139">
        <w:rPr>
          <w:b/>
          <w:sz w:val="20"/>
          <w:szCs w:val="20"/>
        </w:rPr>
        <w:t xml:space="preserve"> Results</w:t>
      </w:r>
      <w:r w:rsidRPr="00B12139">
        <w:rPr>
          <w:b/>
          <w:sz w:val="20"/>
          <w:szCs w:val="20"/>
        </w:rPr>
        <w:t xml:space="preserve">: </w:t>
      </w:r>
      <w:r w:rsidR="009B060F" w:rsidRPr="00B12139">
        <w:rPr>
          <w:sz w:val="20"/>
          <w:szCs w:val="20"/>
        </w:rPr>
        <w:t>Sixty-four</w:t>
      </w:r>
      <w:r w:rsidR="00D22AE0" w:rsidRPr="00B12139">
        <w:rPr>
          <w:sz w:val="20"/>
          <w:szCs w:val="20"/>
        </w:rPr>
        <w:t xml:space="preserve"> young and older</w:t>
      </w:r>
      <w:r w:rsidR="00BF703B" w:rsidRPr="00B12139">
        <w:rPr>
          <w:sz w:val="20"/>
          <w:szCs w:val="20"/>
        </w:rPr>
        <w:t xml:space="preserve"> adults</w:t>
      </w:r>
      <w:r w:rsidR="00D22AE0" w:rsidRPr="00B12139">
        <w:rPr>
          <w:sz w:val="20"/>
          <w:szCs w:val="20"/>
        </w:rPr>
        <w:t xml:space="preserve"> </w:t>
      </w:r>
      <w:r w:rsidR="00B12139" w:rsidRPr="00B12139">
        <w:rPr>
          <w:sz w:val="20"/>
          <w:szCs w:val="20"/>
        </w:rPr>
        <w:t>studied</w:t>
      </w:r>
      <w:r w:rsidR="0036628E" w:rsidRPr="00B12139">
        <w:rPr>
          <w:sz w:val="20"/>
          <w:szCs w:val="20"/>
        </w:rPr>
        <w:t xml:space="preserve"> </w:t>
      </w:r>
      <w:r w:rsidR="007D2568" w:rsidRPr="00B12139">
        <w:rPr>
          <w:sz w:val="20"/>
          <w:szCs w:val="20"/>
        </w:rPr>
        <w:t xml:space="preserve">two </w:t>
      </w:r>
      <w:r w:rsidR="0036628E" w:rsidRPr="00B12139">
        <w:rPr>
          <w:sz w:val="20"/>
          <w:szCs w:val="20"/>
        </w:rPr>
        <w:t xml:space="preserve">fictive </w:t>
      </w:r>
      <w:r w:rsidR="007D2568" w:rsidRPr="00B12139">
        <w:rPr>
          <w:sz w:val="20"/>
          <w:szCs w:val="20"/>
        </w:rPr>
        <w:t xml:space="preserve">week </w:t>
      </w:r>
      <w:r w:rsidR="0036628E" w:rsidRPr="00B12139">
        <w:rPr>
          <w:sz w:val="20"/>
          <w:szCs w:val="20"/>
        </w:rPr>
        <w:t>drug prescription</w:t>
      </w:r>
      <w:r w:rsidR="007D2568" w:rsidRPr="00B12139">
        <w:rPr>
          <w:sz w:val="20"/>
          <w:szCs w:val="20"/>
        </w:rPr>
        <w:t>s</w:t>
      </w:r>
      <w:r w:rsidR="0036628E" w:rsidRPr="00B12139">
        <w:rPr>
          <w:sz w:val="20"/>
          <w:szCs w:val="20"/>
        </w:rPr>
        <w:t xml:space="preserve"> at their own rhythm</w:t>
      </w:r>
      <w:r w:rsidR="00B12139" w:rsidRPr="00B12139">
        <w:rPr>
          <w:sz w:val="20"/>
          <w:szCs w:val="20"/>
        </w:rPr>
        <w:t>,</w:t>
      </w:r>
      <w:r w:rsidR="0036628E" w:rsidRPr="00B12139">
        <w:rPr>
          <w:sz w:val="20"/>
          <w:szCs w:val="20"/>
        </w:rPr>
        <w:t xml:space="preserve"> and </w:t>
      </w:r>
      <w:r w:rsidR="007D2568" w:rsidRPr="00B12139">
        <w:rPr>
          <w:sz w:val="20"/>
          <w:szCs w:val="20"/>
        </w:rPr>
        <w:t xml:space="preserve">then </w:t>
      </w:r>
      <w:r w:rsidR="00B12139" w:rsidRPr="00B12139">
        <w:rPr>
          <w:sz w:val="20"/>
          <w:szCs w:val="20"/>
        </w:rPr>
        <w:t>f</w:t>
      </w:r>
      <w:r w:rsidR="0036628E" w:rsidRPr="00B12139">
        <w:rPr>
          <w:sz w:val="20"/>
          <w:szCs w:val="20"/>
        </w:rPr>
        <w:t>ill</w:t>
      </w:r>
      <w:r w:rsidR="00B12139" w:rsidRPr="00B12139">
        <w:rPr>
          <w:sz w:val="20"/>
          <w:szCs w:val="20"/>
        </w:rPr>
        <w:t>ed</w:t>
      </w:r>
      <w:r w:rsidR="0036628E" w:rsidRPr="00B12139">
        <w:rPr>
          <w:sz w:val="20"/>
          <w:szCs w:val="20"/>
        </w:rPr>
        <w:t xml:space="preserve"> a pillbox from memory. </w:t>
      </w:r>
      <w:r w:rsidR="007D2568" w:rsidRPr="00B12139">
        <w:rPr>
          <w:sz w:val="20"/>
          <w:szCs w:val="20"/>
        </w:rPr>
        <w:t>For each prescription, t</w:t>
      </w:r>
      <w:r w:rsidR="0036628E" w:rsidRPr="00B12139">
        <w:rPr>
          <w:sz w:val="20"/>
          <w:szCs w:val="20"/>
        </w:rPr>
        <w:t>he pillbox filling occurred immediately after the study phase, then after a 30 minute delay</w:t>
      </w:r>
      <w:r w:rsidR="00BF703B" w:rsidRPr="00B12139">
        <w:rPr>
          <w:sz w:val="20"/>
          <w:szCs w:val="20"/>
        </w:rPr>
        <w:t>.</w:t>
      </w:r>
      <w:r w:rsidR="007D2568" w:rsidRPr="00B12139">
        <w:rPr>
          <w:sz w:val="20"/>
          <w:szCs w:val="20"/>
        </w:rPr>
        <w:t xml:space="preserve"> One prescription was displayed in a tabular format and the other in a sheet format. Medication studying time and pillbox filling scores were measured</w:t>
      </w:r>
      <w:r w:rsidR="00B12139" w:rsidRPr="00B12139">
        <w:rPr>
          <w:sz w:val="20"/>
          <w:szCs w:val="20"/>
        </w:rPr>
        <w:t>. As predicted, r</w:t>
      </w:r>
      <w:r w:rsidR="00BF703B" w:rsidRPr="00B12139">
        <w:rPr>
          <w:sz w:val="20"/>
          <w:szCs w:val="20"/>
        </w:rPr>
        <w:t xml:space="preserve">esults showed that </w:t>
      </w:r>
      <w:r w:rsidR="00410E46">
        <w:rPr>
          <w:sz w:val="20"/>
          <w:szCs w:val="20"/>
        </w:rPr>
        <w:t>in the table</w:t>
      </w:r>
      <w:r w:rsidR="007D2568" w:rsidRPr="00B12139">
        <w:rPr>
          <w:sz w:val="20"/>
          <w:szCs w:val="20"/>
        </w:rPr>
        <w:t xml:space="preserve"> format condition, prescription studying time was </w:t>
      </w:r>
      <w:r w:rsidR="00B12139" w:rsidRPr="00B12139">
        <w:rPr>
          <w:sz w:val="20"/>
          <w:szCs w:val="20"/>
        </w:rPr>
        <w:t>significantly shorter, and</w:t>
      </w:r>
      <w:r w:rsidR="007D2568" w:rsidRPr="00B12139">
        <w:rPr>
          <w:rFonts w:cs="Arial"/>
          <w:sz w:val="20"/>
          <w:szCs w:val="20"/>
        </w:rPr>
        <w:t xml:space="preserve"> pillbox filling score higher,</w:t>
      </w:r>
      <w:r w:rsidR="00B12139" w:rsidRPr="00B12139">
        <w:rPr>
          <w:rFonts w:cs="Arial"/>
          <w:sz w:val="20"/>
          <w:szCs w:val="20"/>
        </w:rPr>
        <w:t xml:space="preserve"> </w:t>
      </w:r>
      <w:r w:rsidR="007D2568" w:rsidRPr="00B12139">
        <w:rPr>
          <w:sz w:val="20"/>
          <w:szCs w:val="20"/>
        </w:rPr>
        <w:t>than in the sheet format condition</w:t>
      </w:r>
      <w:r w:rsidR="009E62D8" w:rsidRPr="00B12139">
        <w:rPr>
          <w:rFonts w:cs="Arial"/>
          <w:sz w:val="20"/>
          <w:szCs w:val="20"/>
        </w:rPr>
        <w:t xml:space="preserve">. </w:t>
      </w:r>
      <w:r w:rsidR="009E62D8" w:rsidRPr="00B12139">
        <w:rPr>
          <w:b/>
          <w:sz w:val="20"/>
          <w:szCs w:val="20"/>
        </w:rPr>
        <w:t>C</w:t>
      </w:r>
      <w:r w:rsidR="00A9710C" w:rsidRPr="00B12139">
        <w:rPr>
          <w:b/>
          <w:sz w:val="20"/>
          <w:szCs w:val="20"/>
        </w:rPr>
        <w:t>onclusion &amp; Significance:</w:t>
      </w:r>
      <w:r w:rsidR="00A9710C" w:rsidRPr="00B12139">
        <w:rPr>
          <w:sz w:val="20"/>
          <w:szCs w:val="20"/>
        </w:rPr>
        <w:t xml:space="preserve"> </w:t>
      </w:r>
      <w:r w:rsidR="00881A23" w:rsidRPr="00B12139">
        <w:rPr>
          <w:sz w:val="20"/>
          <w:szCs w:val="20"/>
        </w:rPr>
        <w:t>The results</w:t>
      </w:r>
      <w:r w:rsidR="00653E91" w:rsidRPr="00B12139">
        <w:rPr>
          <w:sz w:val="20"/>
          <w:szCs w:val="20"/>
        </w:rPr>
        <w:t xml:space="preserve"> of this study</w:t>
      </w:r>
      <w:r w:rsidR="000D5CDF" w:rsidRPr="00B12139">
        <w:rPr>
          <w:sz w:val="20"/>
          <w:szCs w:val="20"/>
        </w:rPr>
        <w:t xml:space="preserve"> with older and young adults</w:t>
      </w:r>
      <w:r w:rsidR="00881A23" w:rsidRPr="00B12139">
        <w:rPr>
          <w:sz w:val="20"/>
          <w:szCs w:val="20"/>
        </w:rPr>
        <w:t xml:space="preserve"> corroborate the findings of cognitive psychology on procedural document processing:</w:t>
      </w:r>
      <w:r w:rsidR="00653E91" w:rsidRPr="00B12139">
        <w:rPr>
          <w:sz w:val="20"/>
          <w:szCs w:val="20"/>
        </w:rPr>
        <w:t xml:space="preserve"> when procedural information</w:t>
      </w:r>
      <w:r w:rsidR="000D5CDF" w:rsidRPr="00B12139">
        <w:rPr>
          <w:sz w:val="20"/>
          <w:szCs w:val="20"/>
        </w:rPr>
        <w:t xml:space="preserve"> presentation</w:t>
      </w:r>
      <w:r w:rsidR="00653E91" w:rsidRPr="00B12139">
        <w:rPr>
          <w:sz w:val="20"/>
          <w:szCs w:val="20"/>
        </w:rPr>
        <w:t xml:space="preserve"> is isomorph</w:t>
      </w:r>
      <w:r w:rsidR="00410E46">
        <w:rPr>
          <w:sz w:val="20"/>
          <w:szCs w:val="20"/>
        </w:rPr>
        <w:t>ic</w:t>
      </w:r>
      <w:r w:rsidR="00653E91" w:rsidRPr="00B12139">
        <w:rPr>
          <w:sz w:val="20"/>
          <w:szCs w:val="20"/>
        </w:rPr>
        <w:t xml:space="preserve"> to </w:t>
      </w:r>
      <w:r w:rsidR="000D5CDF" w:rsidRPr="00B12139">
        <w:rPr>
          <w:sz w:val="20"/>
          <w:szCs w:val="20"/>
        </w:rPr>
        <w:t xml:space="preserve">the structure of the procedure to execute, processing is </w:t>
      </w:r>
      <w:r w:rsidR="00410E46">
        <w:rPr>
          <w:sz w:val="20"/>
          <w:szCs w:val="20"/>
        </w:rPr>
        <w:t xml:space="preserve">then </w:t>
      </w:r>
      <w:r w:rsidR="000D5CDF" w:rsidRPr="00B12139">
        <w:rPr>
          <w:sz w:val="20"/>
          <w:szCs w:val="20"/>
        </w:rPr>
        <w:t>facilitated.</w:t>
      </w:r>
      <w:r w:rsidR="000D5CDF">
        <w:rPr>
          <w:sz w:val="20"/>
          <w:szCs w:val="20"/>
        </w:rPr>
        <w:t xml:space="preserve"> </w:t>
      </w:r>
      <w:r w:rsidR="00881A23" w:rsidRPr="00881A23">
        <w:rPr>
          <w:sz w:val="20"/>
          <w:szCs w:val="20"/>
        </w:rPr>
        <w:t xml:space="preserve"> </w:t>
      </w:r>
    </w:p>
    <w:p w:rsidR="00AE3E37" w:rsidRDefault="00AE3E37" w:rsidP="000D5CDF">
      <w:pPr>
        <w:pStyle w:val="Corpsdetexte"/>
        <w:spacing w:before="2"/>
        <w:rPr>
          <w:rFonts w:ascii="Arial"/>
          <w:b/>
          <w:sz w:val="16"/>
        </w:rPr>
      </w:pPr>
    </w:p>
    <w:p w:rsidR="001869DA" w:rsidRDefault="001869D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6B1A3D" w:rsidRPr="006B1A3D" w:rsidRDefault="00DD07F8" w:rsidP="006B1A3D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noProof/>
          <w:sz w:val="18"/>
          <w:szCs w:val="24"/>
          <w:lang w:val="fr-FR"/>
        </w:rPr>
      </w:pPr>
      <w:r w:rsidRPr="00DD07F8">
        <w:rPr>
          <w:rFonts w:cs="Times New Roman"/>
          <w:noProof/>
          <w:sz w:val="18"/>
          <w:szCs w:val="24"/>
        </w:rPr>
        <w:fldChar w:fldCharType="begin" w:fldLock="1"/>
      </w:r>
      <w:r w:rsidRPr="00604003">
        <w:rPr>
          <w:rFonts w:cs="Times New Roman"/>
          <w:noProof/>
          <w:sz w:val="18"/>
          <w:szCs w:val="24"/>
          <w:lang w:val="fr-FR"/>
        </w:rPr>
        <w:instrText xml:space="preserve">ADDIN Mendeley Bibliography CSL_BIBLIOGRAPHY </w:instrText>
      </w:r>
      <w:r w:rsidRPr="00DD07F8">
        <w:rPr>
          <w:rFonts w:cs="Times New Roman"/>
          <w:noProof/>
          <w:sz w:val="18"/>
          <w:szCs w:val="24"/>
        </w:rPr>
        <w:fldChar w:fldCharType="separate"/>
      </w:r>
      <w:r w:rsidR="001B2B37">
        <w:rPr>
          <w:noProof/>
          <w:sz w:val="18"/>
          <w:szCs w:val="24"/>
          <w:lang w:val="fr-FR"/>
        </w:rPr>
        <w:t>Baudrant-Boga M, Lehmann A, Allenet A (2012) Penser autrement l’observance médicamenteuse : d’</w:t>
      </w:r>
      <w:r w:rsidRPr="00604003">
        <w:rPr>
          <w:noProof/>
          <w:sz w:val="18"/>
          <w:szCs w:val="24"/>
          <w:lang w:val="fr-FR"/>
        </w:rPr>
        <w:t xml:space="preserve">une posture injonctive à une </w:t>
      </w:r>
      <w:r w:rsidRPr="00604003">
        <w:rPr>
          <w:noProof/>
          <w:sz w:val="18"/>
          <w:szCs w:val="24"/>
          <w:lang w:val="fr-FR"/>
        </w:rPr>
        <w:lastRenderedPageBreak/>
        <w:t xml:space="preserve">alliance thérapeutique entre le patient et le soignant — Concepts et déterminants. </w:t>
      </w:r>
      <w:r w:rsidRPr="001B2B37">
        <w:rPr>
          <w:i/>
          <w:iCs/>
          <w:noProof/>
          <w:sz w:val="18"/>
          <w:szCs w:val="24"/>
          <w:lang w:val="fr-FR"/>
        </w:rPr>
        <w:t>Annales Pharmaceutiques Francaises</w:t>
      </w:r>
      <w:r w:rsidRPr="001B2B37">
        <w:rPr>
          <w:noProof/>
          <w:sz w:val="18"/>
          <w:szCs w:val="24"/>
          <w:lang w:val="fr-FR"/>
        </w:rPr>
        <w:t xml:space="preserve"> </w:t>
      </w:r>
      <w:r w:rsidRPr="001B2B37">
        <w:rPr>
          <w:i/>
          <w:iCs/>
          <w:noProof/>
          <w:sz w:val="18"/>
          <w:szCs w:val="24"/>
          <w:lang w:val="fr-FR"/>
        </w:rPr>
        <w:t>70</w:t>
      </w:r>
      <w:r w:rsidR="001B2B37">
        <w:rPr>
          <w:i/>
          <w:iCs/>
          <w:noProof/>
          <w:sz w:val="18"/>
          <w:szCs w:val="24"/>
          <w:lang w:val="fr-FR"/>
        </w:rPr>
        <w:t>:</w:t>
      </w:r>
      <w:r w:rsidRPr="001B2B37">
        <w:rPr>
          <w:noProof/>
          <w:sz w:val="18"/>
          <w:szCs w:val="24"/>
          <w:lang w:val="fr-FR"/>
        </w:rPr>
        <w:t xml:space="preserve"> 15–25. http://doi.org/10.1016/j.pharma.2011.10.003</w:t>
      </w:r>
    </w:p>
    <w:p w:rsidR="000D5CDF" w:rsidRPr="001B2B37" w:rsidRDefault="001B2B37" w:rsidP="000D5CDF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noProof/>
          <w:sz w:val="18"/>
          <w:szCs w:val="24"/>
          <w:lang w:val="fr-FR"/>
        </w:rPr>
      </w:pPr>
      <w:r>
        <w:rPr>
          <w:noProof/>
          <w:sz w:val="18"/>
          <w:szCs w:val="24"/>
          <w:lang w:val="fr-FR"/>
        </w:rPr>
        <w:t>Heurley L (2014)</w:t>
      </w:r>
      <w:r w:rsidR="000D5CDF" w:rsidRPr="000D5CDF">
        <w:rPr>
          <w:noProof/>
          <w:sz w:val="18"/>
          <w:szCs w:val="24"/>
          <w:lang w:val="fr-FR"/>
        </w:rPr>
        <w:t xml:space="preserve"> Les documents procéduraux : l’apport de 40 ans de recherche en psychologie cognitive et en ergonomie. </w:t>
      </w:r>
      <w:r>
        <w:rPr>
          <w:noProof/>
          <w:sz w:val="18"/>
          <w:szCs w:val="24"/>
          <w:lang w:val="fr-FR"/>
        </w:rPr>
        <w:t>Le Discours et la Langue 5.2:</w:t>
      </w:r>
      <w:r w:rsidR="000D5CDF" w:rsidRPr="001B2B37">
        <w:rPr>
          <w:noProof/>
          <w:sz w:val="18"/>
          <w:szCs w:val="24"/>
          <w:lang w:val="fr-FR"/>
        </w:rPr>
        <w:t xml:space="preserve"> 39</w:t>
      </w:r>
      <w:r w:rsidR="000D5CDF" w:rsidRPr="001B2B37">
        <w:rPr>
          <w:rFonts w:ascii="MS Gothic" w:eastAsia="MS Gothic" w:hAnsi="MS Gothic" w:cs="MS Gothic" w:hint="eastAsia"/>
          <w:noProof/>
          <w:sz w:val="18"/>
          <w:szCs w:val="24"/>
          <w:lang w:val="fr-FR"/>
        </w:rPr>
        <w:t>‑</w:t>
      </w:r>
      <w:r w:rsidR="000D5CDF" w:rsidRPr="001B2B37">
        <w:rPr>
          <w:noProof/>
          <w:sz w:val="18"/>
          <w:szCs w:val="24"/>
          <w:lang w:val="fr-FR"/>
        </w:rPr>
        <w:t>51.</w:t>
      </w:r>
    </w:p>
    <w:p w:rsidR="00DD07F8" w:rsidRPr="000C5D15" w:rsidRDefault="000C5D15" w:rsidP="000C5D15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rFonts w:cs="Times New Roman"/>
          <w:noProof/>
          <w:sz w:val="18"/>
          <w:szCs w:val="24"/>
        </w:rPr>
      </w:pPr>
      <w:r>
        <w:rPr>
          <w:rFonts w:cs="Times New Roman"/>
          <w:noProof/>
          <w:sz w:val="18"/>
          <w:szCs w:val="24"/>
          <w:lang w:val="fr-FR"/>
        </w:rPr>
        <w:t>Heurley L, Vandenbergh E, Quaglino V. (2013)</w:t>
      </w:r>
      <w:r w:rsidR="00DD07F8" w:rsidRPr="00604003">
        <w:rPr>
          <w:rFonts w:cs="Times New Roman"/>
          <w:noProof/>
          <w:sz w:val="18"/>
          <w:szCs w:val="24"/>
          <w:lang w:val="fr-FR"/>
        </w:rPr>
        <w:t xml:space="preserve"> Effet sur la compréhension du format de prescriptions médicamenteuses présentées sur tablette multimédia : étude comparative chez des personnes jeunes et âgées</w:t>
      </w:r>
      <w:r>
        <w:rPr>
          <w:rFonts w:cs="Times New Roman"/>
          <w:noProof/>
          <w:sz w:val="18"/>
          <w:szCs w:val="24"/>
          <w:lang w:val="fr-FR"/>
        </w:rPr>
        <w:t xml:space="preserve"> saines</w:t>
      </w:r>
      <w:r w:rsidR="00DD07F8" w:rsidRPr="000C5D15">
        <w:rPr>
          <w:rFonts w:cs="Times New Roman"/>
          <w:noProof/>
          <w:sz w:val="18"/>
          <w:szCs w:val="24"/>
          <w:lang w:val="fr-FR"/>
        </w:rPr>
        <w:t>. In Actes du 55ème congrès de la Société Française de Psychologie (p. 120</w:t>
      </w:r>
      <w:r w:rsidR="00DD07F8" w:rsidRPr="000C5D15">
        <w:rPr>
          <w:rFonts w:ascii="MS Mincho" w:eastAsia="MS Mincho" w:hAnsi="MS Mincho" w:cs="MS Mincho" w:hint="eastAsia"/>
          <w:noProof/>
          <w:sz w:val="18"/>
          <w:szCs w:val="24"/>
          <w:lang w:val="fr-FR"/>
        </w:rPr>
        <w:t>‑</w:t>
      </w:r>
      <w:r w:rsidR="00DD07F8" w:rsidRPr="000C5D15">
        <w:rPr>
          <w:rFonts w:cs="Times New Roman"/>
          <w:noProof/>
          <w:sz w:val="18"/>
          <w:szCs w:val="24"/>
          <w:lang w:val="fr-FR"/>
        </w:rPr>
        <w:t xml:space="preserve">121). </w:t>
      </w:r>
      <w:r w:rsidR="00DD07F8" w:rsidRPr="000C5D15">
        <w:rPr>
          <w:rFonts w:cs="Times New Roman"/>
          <w:noProof/>
          <w:sz w:val="18"/>
          <w:szCs w:val="24"/>
        </w:rPr>
        <w:t>Lyon. Retrieved from http://www.sfpsy.org/congres2013/2013 Lyon/ActesSFP2013.pdf</w:t>
      </w:r>
    </w:p>
    <w:p w:rsidR="00DD07F8" w:rsidRPr="00DD07F8" w:rsidRDefault="00DD07F8" w:rsidP="00DD07F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noProof/>
          <w:sz w:val="18"/>
          <w:szCs w:val="24"/>
        </w:rPr>
      </w:pPr>
      <w:r w:rsidRPr="000C5D15">
        <w:rPr>
          <w:noProof/>
          <w:sz w:val="18"/>
          <w:szCs w:val="24"/>
        </w:rPr>
        <w:t>K</w:t>
      </w:r>
      <w:r w:rsidR="000C5D15" w:rsidRPr="000C5D15">
        <w:rPr>
          <w:noProof/>
          <w:sz w:val="18"/>
          <w:szCs w:val="24"/>
        </w:rPr>
        <w:t>heir N, Awaisu A, Radoui A, El Badawi A, Jean L, Dowse R (2014)</w:t>
      </w:r>
      <w:r w:rsidRPr="000C5D15">
        <w:rPr>
          <w:noProof/>
          <w:sz w:val="18"/>
          <w:szCs w:val="24"/>
        </w:rPr>
        <w:t xml:space="preserve"> </w:t>
      </w:r>
      <w:r w:rsidRPr="00DD07F8">
        <w:rPr>
          <w:noProof/>
          <w:sz w:val="18"/>
          <w:szCs w:val="24"/>
        </w:rPr>
        <w:t xml:space="preserve">Development and evaluation of pictograms on medication labels for patients with limited literacy skills in a culturally diverse multiethnic population. </w:t>
      </w:r>
      <w:r w:rsidRPr="00DD07F8">
        <w:rPr>
          <w:i/>
          <w:iCs/>
          <w:noProof/>
          <w:sz w:val="18"/>
          <w:szCs w:val="24"/>
        </w:rPr>
        <w:t>Research in Social and Administrative Pharmacy</w:t>
      </w:r>
      <w:r w:rsidRPr="00DD07F8">
        <w:rPr>
          <w:noProof/>
          <w:sz w:val="18"/>
          <w:szCs w:val="24"/>
        </w:rPr>
        <w:t xml:space="preserve"> </w:t>
      </w:r>
      <w:r w:rsidRPr="00DD07F8">
        <w:rPr>
          <w:i/>
          <w:iCs/>
          <w:noProof/>
          <w:sz w:val="18"/>
          <w:szCs w:val="24"/>
        </w:rPr>
        <w:t>10</w:t>
      </w:r>
      <w:r w:rsidR="000C5D15">
        <w:rPr>
          <w:noProof/>
          <w:sz w:val="18"/>
          <w:szCs w:val="24"/>
        </w:rPr>
        <w:t>:</w:t>
      </w:r>
      <w:r w:rsidRPr="00DD07F8">
        <w:rPr>
          <w:noProof/>
          <w:sz w:val="18"/>
          <w:szCs w:val="24"/>
        </w:rPr>
        <w:t xml:space="preserve"> 720–730. http://doi.org/10.1016/j.sapharm.2013.11.003</w:t>
      </w:r>
    </w:p>
    <w:p w:rsidR="00DD07F8" w:rsidRPr="00DD07F8" w:rsidRDefault="00DD07F8" w:rsidP="00DD07F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noProof/>
          <w:sz w:val="18"/>
          <w:szCs w:val="24"/>
        </w:rPr>
      </w:pPr>
      <w:r w:rsidRPr="00DD07F8">
        <w:rPr>
          <w:noProof/>
          <w:sz w:val="18"/>
          <w:szCs w:val="24"/>
        </w:rPr>
        <w:t>K</w:t>
      </w:r>
      <w:r w:rsidR="00492AC9">
        <w:rPr>
          <w:noProof/>
          <w:sz w:val="18"/>
          <w:szCs w:val="24"/>
        </w:rPr>
        <w:t>ripalani S, Robertson R, Love-Ghaffari M H, Henderson L E, Praska J, Strawder A, Katz M G, Jacobson T A (2007)</w:t>
      </w:r>
      <w:r w:rsidRPr="00DD07F8">
        <w:rPr>
          <w:noProof/>
          <w:sz w:val="18"/>
          <w:szCs w:val="24"/>
        </w:rPr>
        <w:t xml:space="preserve"> Development of an illustrated medication schedule as a low-literacy patient education tool. </w:t>
      </w:r>
      <w:r w:rsidRPr="00DD07F8">
        <w:rPr>
          <w:i/>
          <w:iCs/>
          <w:noProof/>
          <w:sz w:val="18"/>
          <w:szCs w:val="24"/>
        </w:rPr>
        <w:t>Patient Education and Counseling</w:t>
      </w:r>
      <w:r w:rsidRPr="00DD07F8">
        <w:rPr>
          <w:noProof/>
          <w:sz w:val="18"/>
          <w:szCs w:val="24"/>
        </w:rPr>
        <w:t xml:space="preserve">, </w:t>
      </w:r>
      <w:r w:rsidRPr="00DD07F8">
        <w:rPr>
          <w:i/>
          <w:iCs/>
          <w:noProof/>
          <w:sz w:val="18"/>
          <w:szCs w:val="24"/>
        </w:rPr>
        <w:t>66</w:t>
      </w:r>
      <w:r w:rsidR="00492AC9">
        <w:rPr>
          <w:i/>
          <w:iCs/>
          <w:noProof/>
          <w:sz w:val="18"/>
          <w:szCs w:val="24"/>
        </w:rPr>
        <w:t>:</w:t>
      </w:r>
      <w:r w:rsidRPr="00DD07F8">
        <w:rPr>
          <w:noProof/>
          <w:sz w:val="18"/>
          <w:szCs w:val="24"/>
        </w:rPr>
        <w:t xml:space="preserve"> 368–377. http://doi.org/10.1016/j.pec.2007.01.020</w:t>
      </w:r>
    </w:p>
    <w:p w:rsidR="00DD07F8" w:rsidRPr="00DD07F8" w:rsidRDefault="00DD07F8" w:rsidP="00DD07F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rPr>
          <w:noProof/>
          <w:sz w:val="18"/>
        </w:rPr>
      </w:pPr>
      <w:r w:rsidRPr="00DD07F8">
        <w:rPr>
          <w:noProof/>
          <w:sz w:val="18"/>
          <w:szCs w:val="24"/>
        </w:rPr>
        <w:t xml:space="preserve">Morrow D G, Conner-Garcia T, Graumlich J F, Wolf M S, McKeever S, Madison A, … </w:t>
      </w:r>
      <w:r w:rsidR="00492AC9">
        <w:rPr>
          <w:noProof/>
          <w:sz w:val="18"/>
          <w:szCs w:val="24"/>
        </w:rPr>
        <w:t xml:space="preserve">, </w:t>
      </w:r>
      <w:r w:rsidRPr="00DD07F8">
        <w:rPr>
          <w:noProof/>
          <w:sz w:val="18"/>
          <w:szCs w:val="24"/>
        </w:rPr>
        <w:t xml:space="preserve">Kaiser D (2012) An EMR-based tool to support collaborative planning for medication use among adults with diabetes: Design of a multi-site randomized control trial. </w:t>
      </w:r>
      <w:r w:rsidRPr="00DD07F8">
        <w:rPr>
          <w:i/>
          <w:iCs/>
          <w:noProof/>
          <w:sz w:val="18"/>
          <w:szCs w:val="24"/>
        </w:rPr>
        <w:t>Contemporary Clinical Trials</w:t>
      </w:r>
      <w:r w:rsidRPr="00DD07F8">
        <w:rPr>
          <w:noProof/>
          <w:sz w:val="18"/>
          <w:szCs w:val="24"/>
        </w:rPr>
        <w:t xml:space="preserve">, </w:t>
      </w:r>
      <w:r w:rsidRPr="00DD07F8">
        <w:rPr>
          <w:i/>
          <w:iCs/>
          <w:noProof/>
          <w:sz w:val="18"/>
          <w:szCs w:val="24"/>
        </w:rPr>
        <w:t>33</w:t>
      </w:r>
      <w:r w:rsidR="00492AC9">
        <w:rPr>
          <w:i/>
          <w:iCs/>
          <w:noProof/>
          <w:sz w:val="18"/>
          <w:szCs w:val="24"/>
        </w:rPr>
        <w:t>:</w:t>
      </w:r>
      <w:r w:rsidRPr="00DD07F8">
        <w:rPr>
          <w:noProof/>
          <w:sz w:val="18"/>
          <w:szCs w:val="24"/>
        </w:rPr>
        <w:t xml:space="preserve"> 1023–1032. http://doi.org/10.1016/j.cct.2012.05.010</w:t>
      </w:r>
    </w:p>
    <w:p w:rsidR="00DD07F8" w:rsidRDefault="00DD07F8" w:rsidP="00DD07F8">
      <w:pPr>
        <w:pStyle w:val="Paragraphedeliste"/>
        <w:numPr>
          <w:ilvl w:val="0"/>
          <w:numId w:val="4"/>
        </w:numPr>
        <w:rPr>
          <w:noProof/>
          <w:sz w:val="18"/>
        </w:rPr>
      </w:pPr>
      <w:r w:rsidRPr="00DD07F8">
        <w:rPr>
          <w:noProof/>
          <w:sz w:val="18"/>
        </w:rPr>
        <w:fldChar w:fldCharType="end"/>
      </w:r>
      <w:r w:rsidRPr="00DD07F8">
        <w:rPr>
          <w:noProof/>
          <w:sz w:val="18"/>
        </w:rPr>
        <w:t xml:space="preserve"> Morrow D (2015) Technology-Based Support for Older Adult Communication in Safety-Critical Domains. Psychology of Learning and Motivation - Advances in Research and Theory (Vol. 64). Elsevier Ltd. </w:t>
      </w:r>
      <w:hyperlink r:id="rId9" w:history="1">
        <w:r w:rsidR="000D5CDF" w:rsidRPr="00531FF2">
          <w:rPr>
            <w:rStyle w:val="Lienhypertexte"/>
            <w:noProof/>
            <w:sz w:val="18"/>
          </w:rPr>
          <w:t>http://doi.org/10.1016/bs.plm.2015.09.008</w:t>
        </w:r>
      </w:hyperlink>
    </w:p>
    <w:p w:rsidR="000D5CDF" w:rsidRDefault="000D5CDF" w:rsidP="000D5CDF">
      <w:pPr>
        <w:pStyle w:val="Paragraphedeliste"/>
        <w:numPr>
          <w:ilvl w:val="0"/>
          <w:numId w:val="4"/>
        </w:numPr>
        <w:rPr>
          <w:noProof/>
          <w:sz w:val="18"/>
        </w:rPr>
      </w:pPr>
      <w:r w:rsidRPr="00492AC9">
        <w:rPr>
          <w:noProof/>
          <w:sz w:val="18"/>
        </w:rPr>
        <w:t>Suzuki T, Jose Y, Nakauchi Y (20</w:t>
      </w:r>
      <w:bookmarkStart w:id="0" w:name="_GoBack"/>
      <w:bookmarkEnd w:id="0"/>
      <w:r w:rsidRPr="00492AC9">
        <w:rPr>
          <w:noProof/>
          <w:sz w:val="18"/>
        </w:rPr>
        <w:t xml:space="preserve">11) </w:t>
      </w:r>
      <w:r w:rsidRPr="000D5CDF">
        <w:rPr>
          <w:noProof/>
          <w:sz w:val="18"/>
        </w:rPr>
        <w:t>A touchscreen-equipped medicine case as a medical interface for assisting an elderly person in medication management. In Proceedings of the Annual International Conference of the IEEE Engineering in Medicine and Biology</w:t>
      </w:r>
      <w:r w:rsidR="00492AC9">
        <w:rPr>
          <w:noProof/>
          <w:sz w:val="18"/>
        </w:rPr>
        <w:t> </w:t>
      </w:r>
      <w:r w:rsidRPr="000D5CDF">
        <w:rPr>
          <w:noProof/>
          <w:sz w:val="18"/>
        </w:rPr>
        <w:t>Society, EMBS (p. 5335</w:t>
      </w:r>
      <w:r w:rsidRPr="000D5CDF">
        <w:rPr>
          <w:rFonts w:ascii="MS Gothic" w:eastAsia="MS Gothic" w:hAnsi="MS Gothic" w:cs="MS Gothic" w:hint="eastAsia"/>
          <w:noProof/>
          <w:sz w:val="18"/>
        </w:rPr>
        <w:t>‑</w:t>
      </w:r>
      <w:r w:rsidRPr="000D5CDF">
        <w:rPr>
          <w:noProof/>
          <w:sz w:val="18"/>
        </w:rPr>
        <w:t xml:space="preserve">5338). </w:t>
      </w:r>
      <w:hyperlink r:id="rId10" w:history="1">
        <w:r w:rsidR="006B1A3D" w:rsidRPr="00531FF2">
          <w:rPr>
            <w:rStyle w:val="Lienhypertexte"/>
            <w:noProof/>
            <w:sz w:val="18"/>
          </w:rPr>
          <w:t>http://doi.org/10.1109/IEMBS.2011.6091320</w:t>
        </w:r>
      </w:hyperlink>
    </w:p>
    <w:p w:rsidR="006B1A3D" w:rsidRPr="006B1A3D" w:rsidRDefault="006B1A3D" w:rsidP="006B1A3D">
      <w:pPr>
        <w:rPr>
          <w:noProof/>
          <w:sz w:val="18"/>
        </w:rPr>
      </w:pPr>
    </w:p>
    <w:p w:rsidR="00AE3E37" w:rsidRDefault="008756E6" w:rsidP="00DD07F8">
      <w:pPr>
        <w:pStyle w:val="Paragraphedeliste"/>
        <w:ind w:left="284" w:right="117" w:firstLine="0"/>
        <w:jc w:val="left"/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t xml:space="preserve">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315AAF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fr-FR" w:eastAsia="fr-FR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0D5CDF" w:rsidRDefault="000D5CDF" w:rsidP="000D5CD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É</w:t>
      </w:r>
      <w:r>
        <w:rPr>
          <w:rFonts w:ascii="Arial"/>
          <w:sz w:val="14"/>
        </w:rPr>
        <w:t>lodie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Vandenbergh</w:t>
      </w:r>
      <w:proofErr w:type="spellEnd"/>
      <w:r>
        <w:rPr>
          <w:rFonts w:ascii="Arial"/>
          <w:sz w:val="14"/>
        </w:rPr>
        <w:t xml:space="preserve"> is a neuropsychologist. She is currently writing a thesis on the cognitive processes involved in prescription comprehension in older adults and patients with Parkinson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disease. By adopting an experimental approach, she aims two objectives: to enrich existing models of procedural document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processing by taking into account user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characteristics, and to identify the prescription designs that are the most adapted for different older adult cognitive profiles.</w:t>
      </w:r>
    </w:p>
    <w:p w:rsidR="000D5CDF" w:rsidRDefault="000D5CDF" w:rsidP="000D5CD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>
          <w:rPr>
            <w:rStyle w:val="Lienhypertexte"/>
            <w:rFonts w:ascii="Arial"/>
            <w:sz w:val="14"/>
          </w:rPr>
          <w:t>laurent.heurley@u-picardie.fr</w:t>
        </w:r>
      </w:hyperlink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BCE510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6B6" w:rsidRDefault="003156B6">
      <w:r>
        <w:separator/>
      </w:r>
    </w:p>
  </w:endnote>
  <w:endnote w:type="continuationSeparator" w:id="0">
    <w:p w:rsidR="003156B6" w:rsidRDefault="00315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MR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6B6" w:rsidRDefault="003156B6">
      <w:r>
        <w:separator/>
      </w:r>
    </w:p>
  </w:footnote>
  <w:footnote w:type="continuationSeparator" w:id="0">
    <w:p w:rsidR="003156B6" w:rsidRDefault="00315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D1581D">
    <w:pPr>
      <w:pStyle w:val="Corpsdetexte"/>
      <w:spacing w:line="14" w:lineRule="auto"/>
      <w:rPr>
        <w:sz w:val="20"/>
      </w:rPr>
    </w:pPr>
    <w:r>
      <w:rPr>
        <w:noProof/>
        <w:sz w:val="20"/>
        <w:lang w:val="fr-FR" w:eastAsia="fr-FR"/>
      </w:rPr>
      <w:drawing>
        <wp:inline distT="0" distB="0" distL="0" distR="0">
          <wp:extent cx="6773875" cy="1009497"/>
          <wp:effectExtent l="0" t="0" r="0" b="635"/>
          <wp:docPr id="3" name="Picture 3" descr="D:\2017\ICAG 2017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2017\ICAG 2017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5570" cy="100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91DCB"/>
    <w:multiLevelType w:val="hybridMultilevel"/>
    <w:tmpl w:val="7A3E3A14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0B32"/>
    <w:rsid w:val="000719DE"/>
    <w:rsid w:val="000805AA"/>
    <w:rsid w:val="000954C5"/>
    <w:rsid w:val="000C5D15"/>
    <w:rsid w:val="000D2A05"/>
    <w:rsid w:val="000D5CDF"/>
    <w:rsid w:val="000E2911"/>
    <w:rsid w:val="000F0CE7"/>
    <w:rsid w:val="001061DC"/>
    <w:rsid w:val="001126EA"/>
    <w:rsid w:val="001263DF"/>
    <w:rsid w:val="00130E46"/>
    <w:rsid w:val="00182AC7"/>
    <w:rsid w:val="001869DA"/>
    <w:rsid w:val="001A0DD5"/>
    <w:rsid w:val="001A1F01"/>
    <w:rsid w:val="001B2B37"/>
    <w:rsid w:val="001C31C9"/>
    <w:rsid w:val="001F79D2"/>
    <w:rsid w:val="00213C2B"/>
    <w:rsid w:val="00292ED9"/>
    <w:rsid w:val="00310CDA"/>
    <w:rsid w:val="003156B6"/>
    <w:rsid w:val="00320F03"/>
    <w:rsid w:val="00355117"/>
    <w:rsid w:val="00357C8A"/>
    <w:rsid w:val="0036628E"/>
    <w:rsid w:val="00373487"/>
    <w:rsid w:val="003976C0"/>
    <w:rsid w:val="003A5241"/>
    <w:rsid w:val="00404E5B"/>
    <w:rsid w:val="00410E46"/>
    <w:rsid w:val="00414F7B"/>
    <w:rsid w:val="00420784"/>
    <w:rsid w:val="0042647A"/>
    <w:rsid w:val="004355DC"/>
    <w:rsid w:val="004734DD"/>
    <w:rsid w:val="004749B4"/>
    <w:rsid w:val="0048476D"/>
    <w:rsid w:val="00484C45"/>
    <w:rsid w:val="00492AC9"/>
    <w:rsid w:val="00494130"/>
    <w:rsid w:val="004E671B"/>
    <w:rsid w:val="004F3523"/>
    <w:rsid w:val="00540C49"/>
    <w:rsid w:val="005973B9"/>
    <w:rsid w:val="005A4826"/>
    <w:rsid w:val="005B3A56"/>
    <w:rsid w:val="005C6A4A"/>
    <w:rsid w:val="005F3B87"/>
    <w:rsid w:val="00604003"/>
    <w:rsid w:val="006060CE"/>
    <w:rsid w:val="0060755E"/>
    <w:rsid w:val="0063497F"/>
    <w:rsid w:val="00653E91"/>
    <w:rsid w:val="006805E6"/>
    <w:rsid w:val="0069077A"/>
    <w:rsid w:val="006B1A3D"/>
    <w:rsid w:val="006C0FDA"/>
    <w:rsid w:val="006D1D27"/>
    <w:rsid w:val="006E0E57"/>
    <w:rsid w:val="007526C8"/>
    <w:rsid w:val="00765F97"/>
    <w:rsid w:val="00785CA8"/>
    <w:rsid w:val="007B71AA"/>
    <w:rsid w:val="007C5B75"/>
    <w:rsid w:val="007D2568"/>
    <w:rsid w:val="007D50F6"/>
    <w:rsid w:val="00801C79"/>
    <w:rsid w:val="008149A9"/>
    <w:rsid w:val="00860FD3"/>
    <w:rsid w:val="00873DF0"/>
    <w:rsid w:val="008756E6"/>
    <w:rsid w:val="00881A23"/>
    <w:rsid w:val="008B15E4"/>
    <w:rsid w:val="00907BFD"/>
    <w:rsid w:val="009462E0"/>
    <w:rsid w:val="00974C32"/>
    <w:rsid w:val="009A58B8"/>
    <w:rsid w:val="009B060F"/>
    <w:rsid w:val="009B2D44"/>
    <w:rsid w:val="009C0191"/>
    <w:rsid w:val="009E62D8"/>
    <w:rsid w:val="00A00595"/>
    <w:rsid w:val="00A07E82"/>
    <w:rsid w:val="00A60C5C"/>
    <w:rsid w:val="00A9710C"/>
    <w:rsid w:val="00A978FA"/>
    <w:rsid w:val="00AE3E37"/>
    <w:rsid w:val="00AF5479"/>
    <w:rsid w:val="00AF66CD"/>
    <w:rsid w:val="00B12139"/>
    <w:rsid w:val="00B12263"/>
    <w:rsid w:val="00B132BA"/>
    <w:rsid w:val="00B21A57"/>
    <w:rsid w:val="00B32721"/>
    <w:rsid w:val="00B578BC"/>
    <w:rsid w:val="00B96AE0"/>
    <w:rsid w:val="00BF703B"/>
    <w:rsid w:val="00C16F1E"/>
    <w:rsid w:val="00C262DE"/>
    <w:rsid w:val="00C33602"/>
    <w:rsid w:val="00CD091C"/>
    <w:rsid w:val="00CD6F55"/>
    <w:rsid w:val="00D1581D"/>
    <w:rsid w:val="00D22AE0"/>
    <w:rsid w:val="00D41BC6"/>
    <w:rsid w:val="00DD07F8"/>
    <w:rsid w:val="00DD4C7A"/>
    <w:rsid w:val="00DE3104"/>
    <w:rsid w:val="00DE6D9F"/>
    <w:rsid w:val="00DF3F79"/>
    <w:rsid w:val="00E3542F"/>
    <w:rsid w:val="00E36271"/>
    <w:rsid w:val="00E90A08"/>
    <w:rsid w:val="00ED0F04"/>
    <w:rsid w:val="00EE4E77"/>
    <w:rsid w:val="00F32714"/>
    <w:rsid w:val="00F50AF0"/>
    <w:rsid w:val="00F6102A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5:docId w15:val="{E9ACFCF9-E045-42C8-8CE6-D1BF1DED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DF3F7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laurent.heurley@u-picardi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http://doi.org/10.1109/IEMBS.2011.60913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i.org/10.1016/bs.plm.2015.09.008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837</Words>
  <Characters>4607</Characters>
  <Application>Microsoft Office Word</Application>
  <DocSecurity>0</DocSecurity>
  <Lines>38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UPJV</cp:lastModifiedBy>
  <cp:revision>2</cp:revision>
  <dcterms:created xsi:type="dcterms:W3CDTF">2016-10-29T17:11:00Z</dcterms:created>
  <dcterms:modified xsi:type="dcterms:W3CDTF">2016-10-29T17:11:00Z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