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F34B43" w:rsidP="00494130">
      <w:pPr>
        <w:pStyle w:val="Heading1"/>
        <w:spacing w:before="170"/>
        <w:ind w:left="0"/>
      </w:pPr>
      <w:r>
        <w:rPr>
          <w:color w:val="337AB7"/>
        </w:rPr>
        <w:t>DNACPR: Can the GO-FAR score improve decision-making?</w:t>
      </w:r>
    </w:p>
    <w:p w:rsidR="00FC6B20" w:rsidRDefault="00BB266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FC6B20">
        <w:rPr>
          <w:rFonts w:ascii="Arial"/>
        </w:rPr>
        <w:t xml:space="preserve">Georgina Hicks MBBS </w:t>
      </w:r>
      <w:proofErr w:type="spellStart"/>
      <w:r w:rsidR="00FC6B20">
        <w:rPr>
          <w:rFonts w:ascii="Arial"/>
        </w:rPr>
        <w:t>BSc</w:t>
      </w:r>
      <w:proofErr w:type="spellEnd"/>
    </w:p>
    <w:p w:rsidR="00FC6B20" w:rsidRDefault="00BB266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FC6B20">
        <w:rPr>
          <w:rFonts w:ascii="Arial"/>
        </w:rPr>
        <w:t>Thomas Pepper MBBS BDS</w:t>
      </w:r>
    </w:p>
    <w:p w:rsidR="005973B9" w:rsidRDefault="00FC6B2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Chelsea and Westminster NHS Foundation Trust, London, UK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CA66D8" w:rsidRDefault="00D36042">
      <w:pPr>
        <w:pStyle w:val="BodyText"/>
        <w:spacing w:before="90" w:line="280" w:lineRule="auto"/>
        <w:ind w:left="100"/>
        <w:jc w:val="both"/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3458210</wp:posOffset>
            </wp:positionH>
            <wp:positionV relativeFrom="paragraph">
              <wp:posOffset>20320</wp:posOffset>
            </wp:positionV>
            <wp:extent cx="3162935" cy="1974850"/>
            <wp:effectExtent l="19050" t="0" r="0" b="0"/>
            <wp:wrapTopAndBottom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35" cy="197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710C" w:rsidRPr="00F34B43">
        <w:rPr>
          <w:b/>
        </w:rPr>
        <w:t>Statement of the Problem:</w:t>
      </w:r>
      <w:r w:rsidR="00A9710C">
        <w:t xml:space="preserve"> </w:t>
      </w:r>
      <w:r w:rsidR="00F34B43">
        <w:t xml:space="preserve">Do Not Attempt CPR (DNACPR) decisions are commonly </w:t>
      </w:r>
      <w:r w:rsidR="00E951AC">
        <w:t>made</w:t>
      </w:r>
      <w:r w:rsidR="00F34B43">
        <w:t xml:space="preserve"> </w:t>
      </w:r>
      <w:r w:rsidR="00133B32">
        <w:t xml:space="preserve">in </w:t>
      </w:r>
      <w:r w:rsidR="00F34B43">
        <w:t>UK</w:t>
      </w:r>
      <w:r w:rsidR="00133B32">
        <w:t xml:space="preserve"> hospitals</w:t>
      </w:r>
      <w:r w:rsidR="00F34B43">
        <w:t>.  Recent legislation</w:t>
      </w:r>
      <w:r w:rsidR="00BB266A" w:rsidRPr="00BB266A">
        <w:rPr>
          <w:vertAlign w:val="superscript"/>
        </w:rPr>
        <w:t>1</w:t>
      </w:r>
      <w:r w:rsidR="00F34B43">
        <w:t xml:space="preserve"> </w:t>
      </w:r>
      <w:r w:rsidR="00133B32">
        <w:t xml:space="preserve">dictates </w:t>
      </w:r>
      <w:r w:rsidR="00F34B43">
        <w:t xml:space="preserve">that the </w:t>
      </w:r>
      <w:r w:rsidR="00E951AC">
        <w:t xml:space="preserve">decision </w:t>
      </w:r>
      <w:r w:rsidR="002C5196">
        <w:t>be</w:t>
      </w:r>
      <w:r w:rsidR="00E951AC">
        <w:t xml:space="preserve"> discussed</w:t>
      </w:r>
      <w:r w:rsidR="00F34B43">
        <w:t xml:space="preserve"> with the patient or their relatives.  </w:t>
      </w:r>
      <w:r w:rsidR="001C2764">
        <w:t>M</w:t>
      </w:r>
      <w:r w:rsidR="00C97683">
        <w:t>any patients and relatives have unrealistic expectation</w:t>
      </w:r>
      <w:r w:rsidR="002C5196">
        <w:t>s</w:t>
      </w:r>
      <w:r w:rsidR="00C97683">
        <w:t xml:space="preserve"> of CPR outcome</w:t>
      </w:r>
      <w:r w:rsidR="00BB266A" w:rsidRPr="00BB266A">
        <w:rPr>
          <w:vertAlign w:val="superscript"/>
        </w:rPr>
        <w:t>2</w:t>
      </w:r>
      <w:r w:rsidR="001C2764">
        <w:t>, and it is essential that this is addressed in such conversations</w:t>
      </w:r>
      <w:r w:rsidR="00C97683">
        <w:t>.</w:t>
      </w:r>
      <w:r w:rsidR="00F34B43">
        <w:t xml:space="preserve">  </w:t>
      </w:r>
      <w:r w:rsidR="00FA604B">
        <w:t xml:space="preserve">We </w:t>
      </w:r>
      <w:r w:rsidR="00CA66D8">
        <w:t xml:space="preserve">undertook two investigations of </w:t>
      </w:r>
      <w:r w:rsidR="00FA604B">
        <w:t xml:space="preserve">the </w:t>
      </w:r>
      <w:r w:rsidR="00CA66D8">
        <w:t xml:space="preserve">appropriateness of resuscitation decisions based on </w:t>
      </w:r>
      <w:r w:rsidR="00805C60">
        <w:t xml:space="preserve">a validated tool for predicting </w:t>
      </w:r>
      <w:r w:rsidR="00E951AC">
        <w:t xml:space="preserve">neurologically intact </w:t>
      </w:r>
      <w:r w:rsidR="00805C60">
        <w:t>survival after in-patient CPR</w:t>
      </w:r>
      <w:r w:rsidR="00E951AC">
        <w:t xml:space="preserve"> </w:t>
      </w:r>
      <w:r w:rsidR="00805C60">
        <w:t>(</w:t>
      </w:r>
      <w:r w:rsidR="00D47CCA">
        <w:t>Good Outcome Fol</w:t>
      </w:r>
      <w:r w:rsidR="00805C60">
        <w:t xml:space="preserve">lowing Attempted Resuscitation, </w:t>
      </w:r>
      <w:r w:rsidR="00D47CCA">
        <w:t>GO-FAR score</w:t>
      </w:r>
      <w:r w:rsidR="00805C60">
        <w:t>)</w:t>
      </w:r>
      <w:r w:rsidR="003241E7">
        <w:rPr>
          <w:vertAlign w:val="superscript"/>
        </w:rPr>
        <w:t>3</w:t>
      </w:r>
      <w:r w:rsidR="002E40FD">
        <w:t>.</w:t>
      </w:r>
    </w:p>
    <w:p w:rsidR="00CA66D8" w:rsidRDefault="00A9710C">
      <w:pPr>
        <w:pStyle w:val="BodyText"/>
        <w:spacing w:before="90" w:line="280" w:lineRule="auto"/>
        <w:ind w:left="100"/>
        <w:jc w:val="both"/>
      </w:pPr>
      <w:r w:rsidRPr="00F34B43">
        <w:rPr>
          <w:b/>
        </w:rPr>
        <w:t>Methodolog</w:t>
      </w:r>
      <w:r w:rsidR="008756E6" w:rsidRPr="00F34B43">
        <w:rPr>
          <w:b/>
        </w:rPr>
        <w:t xml:space="preserve">y: </w:t>
      </w:r>
      <w:r w:rsidR="00D47CCA" w:rsidRPr="00D47CCA">
        <w:t>All</w:t>
      </w:r>
      <w:r w:rsidR="00D47CCA">
        <w:rPr>
          <w:b/>
        </w:rPr>
        <w:t xml:space="preserve"> </w:t>
      </w:r>
      <w:r w:rsidR="00D47CCA">
        <w:t xml:space="preserve">patient records from a </w:t>
      </w:r>
      <w:r w:rsidR="0063431E">
        <w:t xml:space="preserve">geriatric </w:t>
      </w:r>
      <w:r w:rsidR="00D47CCA">
        <w:t>ward were reviewed</w:t>
      </w:r>
      <w:r w:rsidR="00CA66D8">
        <w:t xml:space="preserve"> on a single day</w:t>
      </w:r>
      <w:r w:rsidR="00D47CCA">
        <w:t xml:space="preserve">.  Information was collected regarding </w:t>
      </w:r>
      <w:r w:rsidR="00CA66D8">
        <w:t>patient age</w:t>
      </w:r>
      <w:r w:rsidR="00AA2A2C">
        <w:t>,</w:t>
      </w:r>
      <w:r w:rsidR="00D47CCA">
        <w:t xml:space="preserve"> </w:t>
      </w:r>
      <w:proofErr w:type="spellStart"/>
      <w:r w:rsidR="00D47CCA">
        <w:t>comorbidities</w:t>
      </w:r>
      <w:proofErr w:type="spellEnd"/>
      <w:r w:rsidR="00D47CCA">
        <w:t xml:space="preserve"> </w:t>
      </w:r>
      <w:r w:rsidR="00AA2A2C">
        <w:t xml:space="preserve">and </w:t>
      </w:r>
      <w:r w:rsidR="00D47CCA">
        <w:t>DNACPR decision</w:t>
      </w:r>
      <w:r w:rsidR="00AA2A2C">
        <w:t>s</w:t>
      </w:r>
      <w:r w:rsidR="0028235F">
        <w:t xml:space="preserve">, and a </w:t>
      </w:r>
      <w:r w:rsidR="00D47CCA">
        <w:t>GO-FAR score</w:t>
      </w:r>
      <w:r w:rsidR="00CA66D8">
        <w:t xml:space="preserve"> calculated.  The process was repeated on a second day two months </w:t>
      </w:r>
      <w:r w:rsidR="00E951AC">
        <w:t xml:space="preserve">after reporting our </w:t>
      </w:r>
      <w:r w:rsidR="002C5196">
        <w:t xml:space="preserve">initial </w:t>
      </w:r>
      <w:r w:rsidR="00E951AC">
        <w:t xml:space="preserve">findings </w:t>
      </w:r>
      <w:r w:rsidR="008F31C9">
        <w:t>to clinical staff</w:t>
      </w:r>
      <w:r w:rsidR="00E951AC">
        <w:t>.</w:t>
      </w:r>
    </w:p>
    <w:p w:rsidR="00241258" w:rsidRDefault="00A9710C">
      <w:pPr>
        <w:pStyle w:val="BodyText"/>
        <w:spacing w:before="90" w:line="280" w:lineRule="auto"/>
        <w:ind w:left="100"/>
        <w:jc w:val="both"/>
      </w:pPr>
      <w:r w:rsidRPr="00FA604B">
        <w:rPr>
          <w:b/>
        </w:rPr>
        <w:t>Findings:</w:t>
      </w:r>
      <w:r>
        <w:t xml:space="preserve"> </w:t>
      </w:r>
      <w:r w:rsidR="00A202EE">
        <w:t xml:space="preserve">48 patients </w:t>
      </w:r>
      <w:r w:rsidR="00C97683">
        <w:t>with a mean age of 73 years (SD</w:t>
      </w:r>
      <w:r w:rsidR="00C97683">
        <w:sym w:font="Symbol" w:char="F0B1"/>
      </w:r>
      <w:r w:rsidR="00C97683">
        <w:t xml:space="preserve">13) </w:t>
      </w:r>
      <w:r w:rsidR="00A202EE">
        <w:t xml:space="preserve">were included.  </w:t>
      </w:r>
      <w:r w:rsidR="00C97683">
        <w:t xml:space="preserve">Of the 25 patients in the initial study, 5/9 patients with a 9.4% </w:t>
      </w:r>
      <w:r w:rsidR="002C5196">
        <w:t xml:space="preserve">likelihood </w:t>
      </w:r>
      <w:r w:rsidR="00C97683">
        <w:t xml:space="preserve">of neurologically intact survival were DNACPR, 9/12 with a 1.7% likelihood were DNACPR, and 1/4 with a 0.9% likelihood was DNACPR.  Of the 23 patients in the subsequent study, 1/9 patients with a 9.4% </w:t>
      </w:r>
      <w:r w:rsidR="001C2764">
        <w:t xml:space="preserve">likelihood </w:t>
      </w:r>
      <w:r w:rsidR="00C97683">
        <w:t xml:space="preserve">of neurologically intact survival was DNACPR, 3/11 with a 1.7% likelihood were DNACPR, and 2/3 with a 0.9% likelihood were DNACPR.  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 w:rsidRPr="00F34B43">
        <w:rPr>
          <w:b/>
        </w:rPr>
        <w:t>Conclusion &amp; Significance:</w:t>
      </w:r>
      <w:r>
        <w:t xml:space="preserve"> </w:t>
      </w:r>
      <w:r w:rsidR="00241258">
        <w:t>Following introdu</w:t>
      </w:r>
      <w:r w:rsidR="00732E55">
        <w:t xml:space="preserve">ction of the GO-FAR score, a smaller proportion of patients </w:t>
      </w:r>
      <w:r w:rsidR="005539A5">
        <w:t xml:space="preserve">with 9.4% </w:t>
      </w:r>
      <w:r w:rsidR="00290BFF">
        <w:t xml:space="preserve">and 1.7% </w:t>
      </w:r>
      <w:r w:rsidR="005539A5">
        <w:t xml:space="preserve">likelihood of neurologically intact survival were </w:t>
      </w:r>
      <w:r w:rsidR="00290BFF">
        <w:t xml:space="preserve">made </w:t>
      </w:r>
      <w:r w:rsidR="005539A5">
        <w:t>DNACPR (p=0.13</w:t>
      </w:r>
      <w:r w:rsidR="00290BFF">
        <w:t xml:space="preserve"> and 0.04 respectively), and a greater proportion of patients with 0.9% likelihood were made DNACPR</w:t>
      </w:r>
      <w:r w:rsidR="00967EFA">
        <w:t xml:space="preserve"> (p=</w:t>
      </w:r>
      <w:r w:rsidR="00290BFF">
        <w:t xml:space="preserve">0.49).  Introduction of the GO-FAR score influenced the practice of clinicians with varying significance.  The score’s greatest utility may be in </w:t>
      </w:r>
      <w:r w:rsidR="00967EFA">
        <w:t xml:space="preserve">prompting </w:t>
      </w:r>
      <w:r w:rsidR="009330AD">
        <w:t>consideration of resuscitation status</w:t>
      </w:r>
      <w:r w:rsidR="00967EFA">
        <w:t xml:space="preserve"> for </w:t>
      </w:r>
      <w:r w:rsidR="00290BFF">
        <w:t xml:space="preserve">patients with </w:t>
      </w:r>
      <w:r w:rsidR="00A47171">
        <w:t>&lt;1%</w:t>
      </w:r>
      <w:r w:rsidR="00290BFF">
        <w:t xml:space="preserve"> likelihood of neurolog</w:t>
      </w:r>
      <w:r w:rsidR="001C2764">
        <w:t xml:space="preserve">ically intact survival, </w:t>
      </w:r>
      <w:r w:rsidR="00967EFA">
        <w:t xml:space="preserve">and facilitating </w:t>
      </w:r>
      <w:r w:rsidR="001C2764">
        <w:t>an evidence-based discussion with the patient and their relatives.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BB266A" w:rsidRDefault="00BB266A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Court of Appeal (2014) </w:t>
      </w:r>
      <w:r w:rsidRPr="00BB266A">
        <w:rPr>
          <w:sz w:val="18"/>
        </w:rPr>
        <w:t>R (David Tracey) v (1) Cambridge University Hospitals NHS Foundation Trust (2) Secretary of State for Health</w:t>
      </w:r>
      <w:r>
        <w:rPr>
          <w:sz w:val="18"/>
        </w:rPr>
        <w:t>.</w:t>
      </w:r>
    </w:p>
    <w:p w:rsidR="00BB266A" w:rsidRPr="00BB266A" w:rsidRDefault="00BB266A" w:rsidP="00BB266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Van den </w:t>
      </w:r>
      <w:proofErr w:type="spellStart"/>
      <w:r>
        <w:rPr>
          <w:sz w:val="18"/>
        </w:rPr>
        <w:t>Bulck</w:t>
      </w:r>
      <w:proofErr w:type="spellEnd"/>
      <w:r>
        <w:rPr>
          <w:sz w:val="18"/>
        </w:rPr>
        <w:t xml:space="preserve"> JJ (2002) </w:t>
      </w:r>
      <w:r w:rsidRPr="00BB266A">
        <w:rPr>
          <w:sz w:val="18"/>
        </w:rPr>
        <w:t xml:space="preserve">The impact of television fiction on public expectations of survival following </w:t>
      </w:r>
      <w:proofErr w:type="spellStart"/>
      <w:r w:rsidRPr="00BB266A">
        <w:rPr>
          <w:sz w:val="18"/>
        </w:rPr>
        <w:t>inhospital</w:t>
      </w:r>
      <w:proofErr w:type="spellEnd"/>
      <w:r w:rsidRPr="00BB266A">
        <w:rPr>
          <w:sz w:val="18"/>
        </w:rPr>
        <w:t xml:space="preserve"> cardiopulmonary resuscitation by medical professionals.</w:t>
      </w:r>
      <w:r>
        <w:rPr>
          <w:sz w:val="18"/>
        </w:rPr>
        <w:t xml:space="preserve">  </w:t>
      </w:r>
      <w:proofErr w:type="spellStart"/>
      <w:r>
        <w:rPr>
          <w:sz w:val="18"/>
        </w:rPr>
        <w:t>Eur</w:t>
      </w:r>
      <w:proofErr w:type="spellEnd"/>
      <w:r>
        <w:rPr>
          <w:sz w:val="18"/>
        </w:rPr>
        <w:t xml:space="preserve"> J </w:t>
      </w:r>
      <w:proofErr w:type="spellStart"/>
      <w:r>
        <w:rPr>
          <w:sz w:val="18"/>
        </w:rPr>
        <w:t>Emerg</w:t>
      </w:r>
      <w:proofErr w:type="spellEnd"/>
      <w:r>
        <w:rPr>
          <w:sz w:val="18"/>
        </w:rPr>
        <w:t xml:space="preserve"> Med </w:t>
      </w:r>
      <w:r w:rsidRPr="00BB266A">
        <w:rPr>
          <w:sz w:val="18"/>
        </w:rPr>
        <w:t>9:325-9.</w:t>
      </w:r>
    </w:p>
    <w:p w:rsidR="00BB266A" w:rsidRDefault="00BB266A" w:rsidP="00BB266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4C65DE">
        <w:rPr>
          <w:sz w:val="18"/>
        </w:rPr>
        <w:t>Ebell</w:t>
      </w:r>
      <w:proofErr w:type="spellEnd"/>
      <w:r w:rsidRPr="004C65DE">
        <w:rPr>
          <w:sz w:val="18"/>
        </w:rPr>
        <w:t xml:space="preserve"> MH, Jang W, </w:t>
      </w:r>
      <w:proofErr w:type="spellStart"/>
      <w:r w:rsidRPr="004C65DE">
        <w:rPr>
          <w:sz w:val="18"/>
        </w:rPr>
        <w:t>Shen</w:t>
      </w:r>
      <w:proofErr w:type="spellEnd"/>
      <w:r w:rsidRPr="004C65DE">
        <w:rPr>
          <w:sz w:val="18"/>
        </w:rPr>
        <w:t xml:space="preserve"> Y, </w:t>
      </w:r>
      <w:proofErr w:type="spellStart"/>
      <w:r w:rsidRPr="004C65DE">
        <w:rPr>
          <w:sz w:val="18"/>
        </w:rPr>
        <w:t>Geocadin</w:t>
      </w:r>
      <w:proofErr w:type="spellEnd"/>
      <w:r w:rsidRPr="004C65DE">
        <w:rPr>
          <w:sz w:val="18"/>
        </w:rPr>
        <w:t xml:space="preserve"> RG</w:t>
      </w:r>
      <w:r w:rsidRPr="004C65DE">
        <w:rPr>
          <w:sz w:val="18"/>
        </w:rPr>
        <w:t xml:space="preserve"> (2013) </w:t>
      </w:r>
      <w:r w:rsidRPr="004C65DE">
        <w:rPr>
          <w:sz w:val="18"/>
        </w:rPr>
        <w:t>Development and validation of the Good Outcome Following Attempted Resuscitation (GO-FAR) score to predict neurologically intact survival after in-hospita</w:t>
      </w:r>
      <w:r w:rsidR="004C65DE">
        <w:rPr>
          <w:sz w:val="18"/>
        </w:rPr>
        <w:t xml:space="preserve">l cardiopulmonary resuscitation. </w:t>
      </w:r>
      <w:r w:rsidRPr="004C65DE">
        <w:rPr>
          <w:sz w:val="18"/>
        </w:rPr>
        <w:t xml:space="preserve">JAMA Intern Med. </w:t>
      </w:r>
      <w:r w:rsidR="004C65DE" w:rsidRPr="004C65DE">
        <w:rPr>
          <w:sz w:val="18"/>
        </w:rPr>
        <w:t>173:1872-8.</w:t>
      </w:r>
    </w:p>
    <w:p w:rsidR="00AE3E37" w:rsidRPr="004C65DE" w:rsidRDefault="004C65DE" w:rsidP="004C65D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</w:pPr>
      <w:r w:rsidRPr="004C65DE">
        <w:rPr>
          <w:sz w:val="18"/>
        </w:rPr>
        <w:t xml:space="preserve">Oliver D. (2016) </w:t>
      </w:r>
      <w:r w:rsidRPr="004C65DE">
        <w:rPr>
          <w:sz w:val="18"/>
        </w:rPr>
        <w:t>Resuscitation orders and reality.</w:t>
      </w:r>
      <w:r>
        <w:rPr>
          <w:sz w:val="18"/>
        </w:rPr>
        <w:t xml:space="preserve">  </w:t>
      </w:r>
      <w:r w:rsidRPr="004C65DE">
        <w:rPr>
          <w:sz w:val="18"/>
        </w:rPr>
        <w:t>BMJ</w:t>
      </w:r>
      <w:r>
        <w:rPr>
          <w:sz w:val="18"/>
        </w:rPr>
        <w:t xml:space="preserve"> </w:t>
      </w:r>
      <w:r w:rsidRPr="004C65DE">
        <w:rPr>
          <w:sz w:val="18"/>
        </w:rPr>
        <w:t>352:i1494.</w:t>
      </w:r>
    </w:p>
    <w:p w:rsidR="004C65DE" w:rsidRPr="004C65DE" w:rsidRDefault="004C65DE" w:rsidP="004C65D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4C65DE">
        <w:rPr>
          <w:sz w:val="18"/>
        </w:rPr>
        <w:t>Ohlsson</w:t>
      </w:r>
      <w:proofErr w:type="spellEnd"/>
      <w:r w:rsidRPr="004C65DE">
        <w:rPr>
          <w:sz w:val="18"/>
        </w:rPr>
        <w:t xml:space="preserve"> MA</w:t>
      </w:r>
      <w:r w:rsidRPr="004C65DE">
        <w:rPr>
          <w:sz w:val="18"/>
        </w:rPr>
        <w:t xml:space="preserve">, Kennedy LM, </w:t>
      </w:r>
      <w:proofErr w:type="spellStart"/>
      <w:r w:rsidRPr="004C65DE">
        <w:rPr>
          <w:sz w:val="18"/>
        </w:rPr>
        <w:t>Ebell</w:t>
      </w:r>
      <w:proofErr w:type="spellEnd"/>
      <w:r w:rsidRPr="004C65DE">
        <w:rPr>
          <w:sz w:val="18"/>
        </w:rPr>
        <w:t xml:space="preserve"> MH, </w:t>
      </w:r>
      <w:proofErr w:type="spellStart"/>
      <w:r w:rsidRPr="004C65DE">
        <w:rPr>
          <w:sz w:val="18"/>
        </w:rPr>
        <w:t>Juhlin</w:t>
      </w:r>
      <w:proofErr w:type="spellEnd"/>
      <w:r w:rsidRPr="004C65DE">
        <w:rPr>
          <w:sz w:val="18"/>
        </w:rPr>
        <w:t xml:space="preserve"> T, </w:t>
      </w:r>
      <w:proofErr w:type="spellStart"/>
      <w:r w:rsidRPr="004C65DE">
        <w:rPr>
          <w:sz w:val="18"/>
        </w:rPr>
        <w:t>Melander</w:t>
      </w:r>
      <w:proofErr w:type="spellEnd"/>
      <w:r w:rsidRPr="004C65DE">
        <w:rPr>
          <w:sz w:val="18"/>
        </w:rPr>
        <w:t xml:space="preserve"> O</w:t>
      </w:r>
      <w:r>
        <w:rPr>
          <w:sz w:val="18"/>
        </w:rPr>
        <w:t xml:space="preserve"> (2016)</w:t>
      </w:r>
      <w:r w:rsidRPr="004C65DE">
        <w:rPr>
          <w:sz w:val="18"/>
        </w:rPr>
        <w:t xml:space="preserve"> </w:t>
      </w:r>
      <w:r w:rsidRPr="004C65DE">
        <w:rPr>
          <w:sz w:val="18"/>
        </w:rPr>
        <w:t>Validation of the good outcome following attempted resuscitation score on in-hospital cardiac arrest in southern Sweden.</w:t>
      </w:r>
      <w:r w:rsidRPr="004C65DE">
        <w:rPr>
          <w:sz w:val="18"/>
        </w:rPr>
        <w:t xml:space="preserve">  </w:t>
      </w:r>
      <w:proofErr w:type="spellStart"/>
      <w:r w:rsidRPr="004C65DE">
        <w:rPr>
          <w:sz w:val="18"/>
        </w:rPr>
        <w:t>Int</w:t>
      </w:r>
      <w:proofErr w:type="spellEnd"/>
      <w:r w:rsidRPr="004C65DE">
        <w:rPr>
          <w:sz w:val="18"/>
        </w:rPr>
        <w:t xml:space="preserve"> J </w:t>
      </w:r>
      <w:proofErr w:type="spellStart"/>
      <w:r w:rsidRPr="004C65DE">
        <w:rPr>
          <w:sz w:val="18"/>
        </w:rPr>
        <w:t>Cardiol</w:t>
      </w:r>
      <w:proofErr w:type="spellEnd"/>
      <w:r>
        <w:rPr>
          <w:sz w:val="18"/>
        </w:rPr>
        <w:t xml:space="preserve"> 221:294-7.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682FE3">
      <w:pPr>
        <w:pStyle w:val="BodyText"/>
        <w:spacing w:line="40" w:lineRule="exact"/>
        <w:ind w:left="2202"/>
        <w:rPr>
          <w:rFonts w:ascii="Calibri"/>
          <w:sz w:val="4"/>
        </w:rPr>
      </w:pPr>
      <w:r w:rsidRPr="00682FE3">
        <w:rPr>
          <w:rFonts w:ascii="Calibri"/>
          <w:noProof/>
          <w:sz w:val="4"/>
          <w:lang w:val="en-IN" w:eastAsia="en-IN"/>
        </w:rPr>
      </w:r>
      <w:r w:rsidRPr="00682FE3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72453E" w:rsidRDefault="003910C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Dr Georgina Hicks and Dr Thomas Pepper undertook their postgraduate medical degrees at King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College London.  Following graduation they worked as Foundation Doctors in London, </w:t>
      </w:r>
      <w:r w:rsidR="0072453E">
        <w:rPr>
          <w:rFonts w:ascii="Arial"/>
          <w:sz w:val="14"/>
        </w:rPr>
        <w:t xml:space="preserve">gaining broad experience in geriatric wards specializing in heart failure and stroke, as well as other specialties.  </w:t>
      </w:r>
    </w:p>
    <w:p w:rsidR="0072453E" w:rsidRDefault="0072453E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72453E" w:rsidRPr="0078116F">
          <w:rPr>
            <w:rStyle w:val="Hyperlink"/>
            <w:rFonts w:ascii="Arial"/>
            <w:sz w:val="14"/>
          </w:rPr>
          <w:t>tom.pepper@outlook.com</w:t>
        </w:r>
      </w:hyperlink>
      <w:r w:rsidR="0072453E">
        <w:rPr>
          <w:rFonts w:ascii="Arial"/>
          <w:sz w:val="14"/>
        </w:rPr>
        <w:t xml:space="preserve"> </w:t>
      </w:r>
    </w:p>
    <w:p w:rsidR="00AE3E37" w:rsidRDefault="00682FE3">
      <w:pPr>
        <w:pStyle w:val="BodyText"/>
        <w:spacing w:before="2"/>
        <w:rPr>
          <w:rFonts w:ascii="Arial"/>
          <w:sz w:val="19"/>
        </w:rPr>
      </w:pPr>
      <w:r w:rsidRPr="00682FE3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B31" w:rsidRDefault="00901B31">
      <w:r>
        <w:separator/>
      </w:r>
    </w:p>
  </w:endnote>
  <w:endnote w:type="continuationSeparator" w:id="0">
    <w:p w:rsidR="00901B31" w:rsidRDefault="00901B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82FE3">
    <w:pPr>
      <w:pStyle w:val="BodyText"/>
      <w:spacing w:line="14" w:lineRule="auto"/>
      <w:rPr>
        <w:sz w:val="20"/>
      </w:rPr>
    </w:pPr>
    <w:r w:rsidRPr="00682FE3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83.3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inset="0,0,0,0">
            <w:txbxContent>
              <w:p w:rsidR="00AE3E37" w:rsidRPr="00FA604B" w:rsidRDefault="00A9710C">
                <w:pPr>
                  <w:spacing w:line="184" w:lineRule="exact"/>
                  <w:ind w:left="20" w:right="-12"/>
                  <w:rPr>
                    <w:rFonts w:ascii="Arial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FA604B" w:rsidRDefault="00A9710C">
                <w:pPr>
                  <w:spacing w:before="8"/>
                  <w:ind w:left="20" w:right="-12"/>
                  <w:rPr>
                    <w:rFonts w:ascii="Arial"/>
                    <w:sz w:val="16"/>
                  </w:rPr>
                </w:pPr>
                <w:r w:rsidRPr="00FA604B">
                  <w:rPr>
                    <w:rFonts w:ascii="Arial"/>
                    <w:sz w:val="16"/>
                  </w:rPr>
                  <w:t>ISSN: 2167-0846 JPAR an open access journa</w:t>
                </w:r>
                <w:r w:rsidR="00FA604B">
                  <w:rPr>
                    <w:rFonts w:ascii="Arial"/>
                    <w:sz w:val="16"/>
                  </w:rPr>
                  <w:t>l</w:t>
                </w:r>
              </w:p>
            </w:txbxContent>
          </v:textbox>
          <w10:wrap anchorx="page" anchory="page"/>
        </v:shape>
      </w:pict>
    </w:r>
    <w:r w:rsidRPr="00682FE3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682FE3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B31" w:rsidRDefault="00901B31">
      <w:r>
        <w:separator/>
      </w:r>
    </w:p>
  </w:footnote>
  <w:footnote w:type="continuationSeparator" w:id="0">
    <w:p w:rsidR="00901B31" w:rsidRDefault="00901B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1581D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w:drawing>
        <wp:inline distT="0" distB="0" distL="0" distR="0">
          <wp:extent cx="4340809" cy="1009022"/>
          <wp:effectExtent l="19050" t="0" r="2591" b="0"/>
          <wp:docPr id="3" name="Picture 3" descr="D:\2017\ICAG 2017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2017\ICAG 2017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941" cy="100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73D52"/>
    <w:rsid w:val="000E2911"/>
    <w:rsid w:val="00116BAA"/>
    <w:rsid w:val="001263DF"/>
    <w:rsid w:val="00133B32"/>
    <w:rsid w:val="001C2764"/>
    <w:rsid w:val="00241258"/>
    <w:rsid w:val="0028235F"/>
    <w:rsid w:val="00290BFF"/>
    <w:rsid w:val="00292ED9"/>
    <w:rsid w:val="002C5196"/>
    <w:rsid w:val="002E40FD"/>
    <w:rsid w:val="003241E7"/>
    <w:rsid w:val="003910C0"/>
    <w:rsid w:val="00404E5B"/>
    <w:rsid w:val="00414F7B"/>
    <w:rsid w:val="004355DC"/>
    <w:rsid w:val="004749B4"/>
    <w:rsid w:val="0047696B"/>
    <w:rsid w:val="00484C45"/>
    <w:rsid w:val="00494130"/>
    <w:rsid w:val="004C65DE"/>
    <w:rsid w:val="004F3523"/>
    <w:rsid w:val="005539A5"/>
    <w:rsid w:val="005973B9"/>
    <w:rsid w:val="005B3A56"/>
    <w:rsid w:val="006060CE"/>
    <w:rsid w:val="0063431E"/>
    <w:rsid w:val="0063497F"/>
    <w:rsid w:val="00644351"/>
    <w:rsid w:val="006805E6"/>
    <w:rsid w:val="00682FE3"/>
    <w:rsid w:val="0072453E"/>
    <w:rsid w:val="00732E55"/>
    <w:rsid w:val="007D102E"/>
    <w:rsid w:val="00805C60"/>
    <w:rsid w:val="00857200"/>
    <w:rsid w:val="00873DF0"/>
    <w:rsid w:val="008756E6"/>
    <w:rsid w:val="008F31C9"/>
    <w:rsid w:val="00901B31"/>
    <w:rsid w:val="009330AD"/>
    <w:rsid w:val="00952679"/>
    <w:rsid w:val="00967EFA"/>
    <w:rsid w:val="009B2D44"/>
    <w:rsid w:val="00A07E82"/>
    <w:rsid w:val="00A202EE"/>
    <w:rsid w:val="00A47171"/>
    <w:rsid w:val="00A9710C"/>
    <w:rsid w:val="00AA2A2C"/>
    <w:rsid w:val="00AE3E37"/>
    <w:rsid w:val="00B21A57"/>
    <w:rsid w:val="00BB266A"/>
    <w:rsid w:val="00C15AEE"/>
    <w:rsid w:val="00C33602"/>
    <w:rsid w:val="00C97683"/>
    <w:rsid w:val="00CA66D8"/>
    <w:rsid w:val="00CD6F55"/>
    <w:rsid w:val="00CF53FA"/>
    <w:rsid w:val="00D1581D"/>
    <w:rsid w:val="00D36042"/>
    <w:rsid w:val="00D47CCA"/>
    <w:rsid w:val="00DE3104"/>
    <w:rsid w:val="00DE6D9F"/>
    <w:rsid w:val="00E755FA"/>
    <w:rsid w:val="00E951AC"/>
    <w:rsid w:val="00F34B43"/>
    <w:rsid w:val="00F72EEA"/>
    <w:rsid w:val="00F84CAE"/>
    <w:rsid w:val="00FA604B"/>
    <w:rsid w:val="00FC6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om.pepper@outlook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063CD5-48D3-49AF-A2EA-D5A80A56F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1463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Tom Pepper</cp:lastModifiedBy>
  <cp:revision>12</cp:revision>
  <dcterms:created xsi:type="dcterms:W3CDTF">2016-10-23T18:19:00Z</dcterms:created>
  <dcterms:modified xsi:type="dcterms:W3CDTF">2016-10-24T18:42:00Z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endeley Document_1">
    <vt:lpwstr>True</vt:lpwstr>
  </property>
  <property fmtid="{D5CDD505-2E9C-101B-9397-08002B2CF9AE}" pid="6" name="Mendeley Unique User Id_1">
    <vt:lpwstr>a6f7e8b9-0d7a-328d-9199-7a3250848870</vt:lpwstr>
  </property>
</Properties>
</file>