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E3E37">
      <w:pPr>
        <w:pStyle w:val="BodyText"/>
        <w:spacing w:before="3"/>
        <w:rPr>
          <w:rFonts w:ascii="Arial"/>
          <w:sz w:val="21"/>
        </w:rPr>
      </w:pPr>
    </w:p>
    <w:p w:rsidR="004276CE" w:rsidRDefault="004276CE">
      <w:pPr>
        <w:pStyle w:val="BodyText"/>
        <w:spacing w:before="3"/>
        <w:rPr>
          <w:rFonts w:ascii="Arial"/>
          <w:sz w:val="21"/>
        </w:rPr>
      </w:pPr>
      <w:r>
        <w:rPr>
          <w:rFonts w:ascii="Arial"/>
          <w:sz w:val="21"/>
        </w:rPr>
        <w:t xml:space="preserve">Jones, K., </w:t>
      </w:r>
      <w:r w:rsidR="007D1E48">
        <w:rPr>
          <w:rFonts w:ascii="Arial"/>
          <w:sz w:val="21"/>
        </w:rPr>
        <w:t>Department</w:t>
      </w:r>
      <w:r>
        <w:rPr>
          <w:rFonts w:ascii="Arial"/>
          <w:sz w:val="21"/>
        </w:rPr>
        <w:t xml:space="preserve"> of Health and Social Care, </w:t>
      </w:r>
      <w:proofErr w:type="gramStart"/>
      <w:r>
        <w:rPr>
          <w:rFonts w:ascii="Arial"/>
          <w:sz w:val="21"/>
        </w:rPr>
        <w:t>The</w:t>
      </w:r>
      <w:proofErr w:type="gramEnd"/>
      <w:r>
        <w:rPr>
          <w:rFonts w:ascii="Arial"/>
          <w:sz w:val="21"/>
        </w:rPr>
        <w:t xml:space="preserve"> Open University, Milton Keynes, UK</w:t>
      </w:r>
    </w:p>
    <w:p w:rsidR="004276CE" w:rsidRDefault="004276CE">
      <w:pPr>
        <w:pStyle w:val="BodyText"/>
        <w:spacing w:before="3"/>
        <w:rPr>
          <w:rFonts w:ascii="Arial"/>
          <w:sz w:val="21"/>
        </w:rPr>
      </w:pPr>
      <w:proofErr w:type="spellStart"/>
      <w:r>
        <w:rPr>
          <w:rFonts w:ascii="Arial"/>
          <w:sz w:val="21"/>
        </w:rPr>
        <w:t>Birchley</w:t>
      </w:r>
      <w:proofErr w:type="spellEnd"/>
      <w:r>
        <w:rPr>
          <w:rFonts w:ascii="Arial"/>
          <w:sz w:val="21"/>
        </w:rPr>
        <w:t xml:space="preserve">, G., &amp; </w:t>
      </w:r>
      <w:proofErr w:type="spellStart"/>
      <w:r>
        <w:rPr>
          <w:rFonts w:ascii="Arial"/>
          <w:sz w:val="21"/>
        </w:rPr>
        <w:t>Huxtable</w:t>
      </w:r>
      <w:proofErr w:type="spellEnd"/>
      <w:r>
        <w:rPr>
          <w:rFonts w:ascii="Arial"/>
          <w:sz w:val="21"/>
        </w:rPr>
        <w:t xml:space="preserve">, R., Centre for Ethics, </w:t>
      </w:r>
      <w:proofErr w:type="gramStart"/>
      <w:r>
        <w:rPr>
          <w:rFonts w:ascii="Arial"/>
          <w:sz w:val="21"/>
        </w:rPr>
        <w:t>The</w:t>
      </w:r>
      <w:proofErr w:type="gramEnd"/>
      <w:r>
        <w:rPr>
          <w:rFonts w:ascii="Arial"/>
          <w:sz w:val="21"/>
        </w:rPr>
        <w:t xml:space="preserve"> University of Bristol, Bristol, UK</w:t>
      </w:r>
    </w:p>
    <w:p w:rsidR="004276CE" w:rsidRDefault="004276CE">
      <w:pPr>
        <w:pStyle w:val="BodyText"/>
        <w:spacing w:before="3"/>
        <w:rPr>
          <w:rFonts w:ascii="Arial"/>
          <w:sz w:val="21"/>
        </w:rPr>
      </w:pPr>
      <w:r>
        <w:rPr>
          <w:rFonts w:ascii="Arial"/>
          <w:sz w:val="21"/>
        </w:rPr>
        <w:t xml:space="preserve">Clare, L., University of Exeter Medical School, University of Exeter </w:t>
      </w:r>
      <w:proofErr w:type="spellStart"/>
      <w:r>
        <w:rPr>
          <w:rFonts w:ascii="Arial"/>
          <w:sz w:val="21"/>
        </w:rPr>
        <w:t>Exeter</w:t>
      </w:r>
      <w:proofErr w:type="spellEnd"/>
      <w:r>
        <w:rPr>
          <w:rFonts w:ascii="Arial"/>
          <w:sz w:val="21"/>
        </w:rPr>
        <w:t>, UK</w:t>
      </w:r>
    </w:p>
    <w:p w:rsidR="00AE3E37" w:rsidRDefault="004276CE" w:rsidP="004276CE">
      <w:pPr>
        <w:pStyle w:val="BodyText"/>
        <w:spacing w:before="3"/>
        <w:rPr>
          <w:rFonts w:ascii="Arial"/>
          <w:sz w:val="21"/>
        </w:rPr>
      </w:pPr>
      <w:r>
        <w:rPr>
          <w:rFonts w:ascii="Arial"/>
          <w:sz w:val="21"/>
        </w:rPr>
        <w:t>Walter, T.</w:t>
      </w:r>
      <w:proofErr w:type="gramStart"/>
      <w:r>
        <w:rPr>
          <w:rFonts w:ascii="Arial"/>
          <w:sz w:val="21"/>
        </w:rPr>
        <w:t>,&amp;</w:t>
      </w:r>
      <w:proofErr w:type="gramEnd"/>
      <w:r>
        <w:rPr>
          <w:rFonts w:ascii="Arial"/>
          <w:sz w:val="21"/>
        </w:rPr>
        <w:t xml:space="preserve">  Dixon, J. Centre for Death and Society, University of Bath, Bath, UK.</w:t>
      </w:r>
    </w:p>
    <w:p w:rsidR="004276CE" w:rsidRDefault="004276CE" w:rsidP="004276CE">
      <w:pPr>
        <w:pStyle w:val="BodyText"/>
        <w:spacing w:before="3"/>
        <w:rPr>
          <w:rFonts w:ascii="Arial"/>
          <w:sz w:val="21"/>
        </w:rPr>
        <w:sectPr w:rsidR="004276CE">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rsidR="007D1E48" w:rsidRDefault="007D1E48">
      <w:pPr>
        <w:pStyle w:val="Heading3"/>
        <w:spacing w:before="147"/>
        <w:jc w:val="both"/>
      </w:pPr>
    </w:p>
    <w:p w:rsidR="004B0A91" w:rsidRDefault="004B0A91" w:rsidP="007D1E48">
      <w:pPr>
        <w:spacing w:line="360" w:lineRule="auto"/>
        <w:jc w:val="both"/>
        <w:rPr>
          <w:rFonts w:ascii="Calibri" w:hAnsi="Calibri" w:cs="Minion-Regular"/>
        </w:rPr>
      </w:pPr>
      <w:r w:rsidRPr="007B1CF4">
        <w:t>Despite increasing attention given to dementia by international governments and policy makers the</w:t>
      </w:r>
      <w:r>
        <w:t xml:space="preserve"> focus of end of life care has been on the dying trajectory of malignant disease.</w:t>
      </w:r>
      <w:r w:rsidRPr="007B1CF4">
        <w:rPr>
          <w:rFonts w:ascii="Calibri" w:hAnsi="Calibri" w:cs="Minion-Regular"/>
        </w:rPr>
        <w:t xml:space="preserve"> </w:t>
      </w:r>
      <w:r>
        <w:rPr>
          <w:rFonts w:ascii="Calibri" w:hAnsi="Calibri" w:cs="Minion-Regular"/>
        </w:rPr>
        <w:t xml:space="preserve">People with severe dementia have complex physical and psychological needs; yet, the disease is not always </w:t>
      </w:r>
      <w:proofErr w:type="spellStart"/>
      <w:r>
        <w:rPr>
          <w:rFonts w:ascii="Calibri" w:hAnsi="Calibri" w:cs="Minion-Regular"/>
        </w:rPr>
        <w:t>recognised</w:t>
      </w:r>
      <w:proofErr w:type="spellEnd"/>
      <w:r>
        <w:rPr>
          <w:rFonts w:ascii="Calibri" w:hAnsi="Calibri" w:cs="Minion-Regular"/>
        </w:rPr>
        <w:t xml:space="preserve"> as terminal.</w:t>
      </w:r>
    </w:p>
    <w:p w:rsidR="004B0A91" w:rsidRPr="00AD15DD" w:rsidRDefault="004B0A91" w:rsidP="007D1E48">
      <w:pPr>
        <w:spacing w:after="200" w:line="360" w:lineRule="auto"/>
        <w:jc w:val="both"/>
        <w:rPr>
          <w:rFonts w:asciiTheme="minorHAnsi" w:hAnsiTheme="minorHAnsi" w:cstheme="minorBidi"/>
        </w:rPr>
      </w:pPr>
      <w:r w:rsidRPr="000575C6">
        <w:t xml:space="preserve">We conducted a scoping review </w:t>
      </w:r>
      <w:r>
        <w:t xml:space="preserve">of studies exploring decisions associated with the </w:t>
      </w:r>
      <w:proofErr w:type="spellStart"/>
      <w:r>
        <w:t>EoLC</w:t>
      </w:r>
      <w:proofErr w:type="spellEnd"/>
      <w:r>
        <w:t xml:space="preserve"> of people with dementia. Eligible studies </w:t>
      </w:r>
      <w:r w:rsidRPr="000575C6">
        <w:t>report</w:t>
      </w:r>
      <w:r>
        <w:t>ed</w:t>
      </w:r>
      <w:r w:rsidRPr="000575C6">
        <w:t xml:space="preserve"> on decision making at the end of life and by whom</w:t>
      </w:r>
      <w:r>
        <w:t>. The papers highlight several challenges that need to be addressed in order to provide adequate and effective care for people with dementia as they near the end of their life.</w:t>
      </w:r>
    </w:p>
    <w:p w:rsidR="007D1E48" w:rsidRDefault="004B0A91" w:rsidP="007D1E48">
      <w:pPr>
        <w:spacing w:line="360" w:lineRule="auto"/>
        <w:jc w:val="both"/>
      </w:pPr>
      <w:r>
        <w:rPr>
          <w:rFonts w:ascii="Calibri" w:hAnsi="Calibri" w:cs="Minion-Regular"/>
        </w:rPr>
        <w:t xml:space="preserve">The </w:t>
      </w:r>
      <w:proofErr w:type="gramStart"/>
      <w:r>
        <w:rPr>
          <w:rFonts w:ascii="Calibri" w:hAnsi="Calibri" w:cs="Minion-Regular"/>
        </w:rPr>
        <w:t>studies  demonstrate</w:t>
      </w:r>
      <w:proofErr w:type="gramEnd"/>
      <w:r>
        <w:rPr>
          <w:rFonts w:ascii="Calibri" w:hAnsi="Calibri" w:cs="Minion-Regular"/>
        </w:rPr>
        <w:t xml:space="preserve"> that </w:t>
      </w:r>
      <w:r>
        <w:t xml:space="preserve">ACP and </w:t>
      </w:r>
      <w:proofErr w:type="spellStart"/>
      <w:r>
        <w:t>EoLC</w:t>
      </w:r>
      <w:proofErr w:type="spellEnd"/>
      <w:r>
        <w:t xml:space="preserve"> decision making processes are a complex one involving multiple factors. Decision making is not a one off-choice, but involves different individuals at different points of time of care both before and at the end of life, and in various sites of care (hospital, care home). There have been few examples of what it means to facilitate a good </w:t>
      </w:r>
      <w:proofErr w:type="spellStart"/>
      <w:r>
        <w:t>EoLC</w:t>
      </w:r>
      <w:proofErr w:type="spellEnd"/>
      <w:r>
        <w:t xml:space="preserve"> and a good death other than limiting treatment intensity. Yet suffering is reported here also.</w:t>
      </w:r>
      <w:r>
        <w:rPr>
          <w:rFonts w:ascii="Calibri" w:hAnsi="Calibri" w:cs="Minion-Regular"/>
        </w:rPr>
        <w:t xml:space="preserve"> </w:t>
      </w:r>
      <w:r>
        <w:t xml:space="preserve">In spite of clinicians’ decision to limit treatment, people with dementia reportedly experience distressing symptoms including </w:t>
      </w:r>
      <w:proofErr w:type="spellStart"/>
      <w:proofErr w:type="gramStart"/>
      <w:r w:rsidR="007D1E48">
        <w:t>brea</w:t>
      </w:r>
      <w:proofErr w:type="spellEnd"/>
      <w:proofErr w:type="gramEnd"/>
    </w:p>
    <w:p w:rsidR="004B0A91" w:rsidRPr="00AD15DD" w:rsidRDefault="004B0A91" w:rsidP="004B0A91">
      <w:pPr>
        <w:spacing w:line="480" w:lineRule="auto"/>
        <w:jc w:val="both"/>
        <w:rPr>
          <w:rFonts w:asciiTheme="minorHAnsi" w:hAnsiTheme="minorHAnsi" w:cstheme="minorBidi"/>
        </w:rPr>
      </w:pPr>
      <w:proofErr w:type="gramStart"/>
      <w:r>
        <w:t>breathlessness</w:t>
      </w:r>
      <w:proofErr w:type="gramEnd"/>
      <w:r>
        <w:t>, anxiety and pain.</w:t>
      </w:r>
    </w:p>
    <w:p w:rsidR="007D1E48" w:rsidRDefault="004B0A91" w:rsidP="004B0A91">
      <w:pPr>
        <w:spacing w:line="480" w:lineRule="auto"/>
        <w:jc w:val="both"/>
      </w:pPr>
      <w:r>
        <w:t xml:space="preserve">This has implications for the model of proxy decision making in both the UK and the US, where decisions are prevaricated on the assumption that autonomy of the patient is </w:t>
      </w:r>
      <w:proofErr w:type="spellStart"/>
      <w:r>
        <w:t>honoured</w:t>
      </w:r>
      <w:proofErr w:type="spellEnd"/>
      <w:r>
        <w:t xml:space="preserve"> by adhering to patient’s previously held preferences. </w:t>
      </w:r>
    </w:p>
    <w:p w:rsidR="007D1E48" w:rsidRDefault="007D1E48" w:rsidP="004B0A91">
      <w:pPr>
        <w:spacing w:line="480" w:lineRule="auto"/>
        <w:jc w:val="both"/>
      </w:pPr>
    </w:p>
    <w:p w:rsidR="007D1E48" w:rsidRDefault="007D1E48" w:rsidP="007D1E48">
      <w:pPr>
        <w:spacing w:line="360" w:lineRule="auto"/>
        <w:jc w:val="both"/>
      </w:pPr>
    </w:p>
    <w:p w:rsidR="004B0A91" w:rsidRDefault="004B0A91" w:rsidP="007D1E48">
      <w:pPr>
        <w:spacing w:line="360" w:lineRule="auto"/>
        <w:jc w:val="both"/>
      </w:pPr>
      <w:r>
        <w:t xml:space="preserve">Where in some instances decisions are supported, ACP studies examining proxy decision making also reveal differing </w:t>
      </w:r>
      <w:r w:rsidRPr="006A3F4B">
        <w:rPr>
          <w:highlight w:val="cyan"/>
        </w:rPr>
        <w:t>complex</w:t>
      </w:r>
      <w:r>
        <w:t xml:space="preserve"> realities (</w:t>
      </w:r>
      <w:proofErr w:type="spellStart"/>
      <w:r>
        <w:t>Caresse</w:t>
      </w:r>
      <w:proofErr w:type="spellEnd"/>
      <w:r>
        <w:t xml:space="preserve">, et al., 2002). </w:t>
      </w:r>
      <w:r w:rsidRPr="006A3F4B">
        <w:rPr>
          <w:highlight w:val="cyan"/>
        </w:rPr>
        <w:t xml:space="preserve">Indeed, people with dementia and their spouse’s may consider their perspectives on </w:t>
      </w:r>
      <w:proofErr w:type="spellStart"/>
      <w:r w:rsidRPr="006A3F4B">
        <w:rPr>
          <w:highlight w:val="cyan"/>
        </w:rPr>
        <w:t>EoLC</w:t>
      </w:r>
      <w:proofErr w:type="spellEnd"/>
      <w:r w:rsidRPr="006A3F4B">
        <w:rPr>
          <w:highlight w:val="cyan"/>
        </w:rPr>
        <w:t xml:space="preserve"> challenging to review, and when they do it is often in the context of their current exp</w:t>
      </w:r>
      <w:r>
        <w:rPr>
          <w:highlight w:val="cyan"/>
        </w:rPr>
        <w:t>eriences</w:t>
      </w:r>
      <w:r>
        <w:t>.</w:t>
      </w:r>
    </w:p>
    <w:p w:rsidR="004B0A91" w:rsidRDefault="004B0A91" w:rsidP="004B0A91"/>
    <w:p w:rsidR="004B0A91" w:rsidRDefault="004B0A91" w:rsidP="004B0A91">
      <w:pPr>
        <w:spacing w:line="204" w:lineRule="exact"/>
        <w:rPr>
          <w:rFonts w:ascii="Arial"/>
          <w:b/>
          <w:sz w:val="20"/>
        </w:rPr>
      </w:pPr>
      <w:r>
        <w:rPr>
          <w:rFonts w:ascii="Arial"/>
          <w:b/>
          <w:color w:val="BF5A14"/>
          <w:sz w:val="20"/>
        </w:rPr>
        <w:t>Recent Publications (minimum 5)</w:t>
      </w:r>
    </w:p>
    <w:p w:rsidR="004B0A91" w:rsidRPr="007D1E48" w:rsidRDefault="004B0A91" w:rsidP="004B0A91">
      <w:pPr>
        <w:pStyle w:val="Heading3"/>
        <w:spacing w:before="74"/>
        <w:ind w:left="720"/>
        <w:rPr>
          <w:b w:val="0"/>
        </w:rPr>
      </w:pPr>
      <w:proofErr w:type="gramStart"/>
      <w:r w:rsidRPr="007D1E48">
        <w:rPr>
          <w:b w:val="0"/>
        </w:rPr>
        <w:t>1.Jones</w:t>
      </w:r>
      <w:proofErr w:type="gramEnd"/>
      <w:r w:rsidRPr="007D1E48">
        <w:rPr>
          <w:b w:val="0"/>
        </w:rPr>
        <w:t xml:space="preserve">, K. </w:t>
      </w:r>
      <w:proofErr w:type="spellStart"/>
      <w:r w:rsidRPr="007D1E48">
        <w:rPr>
          <w:b w:val="0"/>
        </w:rPr>
        <w:t>Birchley</w:t>
      </w:r>
      <w:proofErr w:type="spellEnd"/>
      <w:r w:rsidRPr="007D1E48">
        <w:rPr>
          <w:b w:val="0"/>
        </w:rPr>
        <w:t xml:space="preserve">, G., Clare, L., </w:t>
      </w:r>
      <w:proofErr w:type="spellStart"/>
      <w:r w:rsidRPr="007D1E48">
        <w:rPr>
          <w:b w:val="0"/>
        </w:rPr>
        <w:t>Huxtable</w:t>
      </w:r>
      <w:proofErr w:type="spellEnd"/>
      <w:r w:rsidRPr="007D1E48">
        <w:rPr>
          <w:b w:val="0"/>
        </w:rPr>
        <w:t xml:space="preserve">, R., Dixon, J., Walter, T. (under review) Decision making at the end of </w:t>
      </w:r>
      <w:proofErr w:type="spellStart"/>
      <w:r w:rsidRPr="007D1E48">
        <w:rPr>
          <w:b w:val="0"/>
        </w:rPr>
        <w:t>lifefor</w:t>
      </w:r>
      <w:proofErr w:type="spellEnd"/>
      <w:r w:rsidRPr="007D1E48">
        <w:rPr>
          <w:b w:val="0"/>
        </w:rPr>
        <w:t xml:space="preserve"> the person with dementia. </w:t>
      </w:r>
      <w:proofErr w:type="gramStart"/>
      <w:r w:rsidRPr="007D1E48">
        <w:rPr>
          <w:b w:val="0"/>
        </w:rPr>
        <w:t>A synthesis and thematic analysis.</w:t>
      </w:r>
      <w:proofErr w:type="gramEnd"/>
      <w:r w:rsidRPr="007D1E48">
        <w:rPr>
          <w:b w:val="0"/>
        </w:rPr>
        <w:t xml:space="preserve"> </w:t>
      </w:r>
      <w:proofErr w:type="gramStart"/>
      <w:r w:rsidRPr="007D1E48">
        <w:rPr>
          <w:b w:val="0"/>
        </w:rPr>
        <w:t>Dementia International Journal of Social Research and Practice.</w:t>
      </w:r>
      <w:proofErr w:type="gramEnd"/>
      <w:r w:rsidRPr="007D1E48">
        <w:rPr>
          <w:b w:val="0"/>
        </w:rPr>
        <w:t xml:space="preserve"> </w:t>
      </w:r>
    </w:p>
    <w:p w:rsidR="004B0A91" w:rsidRPr="007D1E48" w:rsidRDefault="004B0A91" w:rsidP="004B0A91">
      <w:pPr>
        <w:pStyle w:val="Heading3"/>
        <w:spacing w:before="74"/>
        <w:ind w:left="720"/>
        <w:rPr>
          <w:b w:val="0"/>
        </w:rPr>
      </w:pPr>
      <w:r w:rsidRPr="007D1E48">
        <w:rPr>
          <w:b w:val="0"/>
        </w:rPr>
        <w:t xml:space="preserve">2. </w:t>
      </w:r>
      <w:proofErr w:type="spellStart"/>
      <w:r w:rsidRPr="007D1E48">
        <w:rPr>
          <w:b w:val="0"/>
        </w:rPr>
        <w:t>Birchley</w:t>
      </w:r>
      <w:proofErr w:type="spellEnd"/>
      <w:r w:rsidRPr="007D1E48">
        <w:rPr>
          <w:b w:val="0"/>
        </w:rPr>
        <w:t xml:space="preserve">, G., Jones, K., </w:t>
      </w:r>
      <w:proofErr w:type="spellStart"/>
      <w:r w:rsidRPr="007D1E48">
        <w:rPr>
          <w:b w:val="0"/>
        </w:rPr>
        <w:t>Huxtable</w:t>
      </w:r>
      <w:proofErr w:type="spellEnd"/>
      <w:r w:rsidRPr="007D1E48">
        <w:rPr>
          <w:b w:val="0"/>
        </w:rPr>
        <w:t xml:space="preserve">, R., Dixon, J., </w:t>
      </w:r>
      <w:proofErr w:type="spellStart"/>
      <w:r w:rsidRPr="007D1E48">
        <w:rPr>
          <w:b w:val="0"/>
        </w:rPr>
        <w:t>Kitzinger</w:t>
      </w:r>
      <w:proofErr w:type="spellEnd"/>
      <w:r w:rsidRPr="007D1E48">
        <w:rPr>
          <w:b w:val="0"/>
        </w:rPr>
        <w:t xml:space="preserve">, J., Clare, L. (2016) Dying Well with Reduced Agency: A scoping Review and Thematic Synthesis of How Decisions Happen in Three Conditions. </w:t>
      </w:r>
      <w:proofErr w:type="gramStart"/>
      <w:r w:rsidRPr="007D1E48">
        <w:rPr>
          <w:b w:val="0"/>
        </w:rPr>
        <w:t>BMC Medical Ethics.</w:t>
      </w:r>
      <w:proofErr w:type="gramEnd"/>
      <w:r w:rsidRPr="007D1E48">
        <w:rPr>
          <w:b w:val="0"/>
        </w:rPr>
        <w:t xml:space="preserve"> 17 (1): 46.doi:10.1186/s12910-016-0129-x </w:t>
      </w:r>
    </w:p>
    <w:p w:rsidR="004B0A91" w:rsidRPr="007D1E48" w:rsidRDefault="004B0A91" w:rsidP="004B0A91">
      <w:pPr>
        <w:pStyle w:val="Heading3"/>
        <w:spacing w:before="74"/>
        <w:ind w:left="720"/>
        <w:rPr>
          <w:b w:val="0"/>
        </w:rPr>
      </w:pPr>
      <w:r w:rsidRPr="007D1E48">
        <w:rPr>
          <w:b w:val="0"/>
        </w:rPr>
        <w:t xml:space="preserve">3. Jones, K. (2014) Parental Identity in Narratives of Grief Following </w:t>
      </w:r>
      <w:proofErr w:type="spellStart"/>
      <w:r w:rsidRPr="007D1E48">
        <w:rPr>
          <w:b w:val="0"/>
        </w:rPr>
        <w:t>Perinatal</w:t>
      </w:r>
      <w:proofErr w:type="spellEnd"/>
      <w:r w:rsidRPr="007D1E48">
        <w:rPr>
          <w:b w:val="0"/>
        </w:rPr>
        <w:t xml:space="preserve"> Death. Grief Matters: The </w:t>
      </w:r>
      <w:proofErr w:type="spellStart"/>
      <w:r w:rsidRPr="007D1E48">
        <w:rPr>
          <w:b w:val="0"/>
        </w:rPr>
        <w:t>AustralianJournal</w:t>
      </w:r>
      <w:proofErr w:type="spellEnd"/>
      <w:r w:rsidRPr="007D1E48">
        <w:rPr>
          <w:b w:val="0"/>
        </w:rPr>
        <w:t xml:space="preserve"> of Grief and Bereavement, 17, 2: 38-42. </w:t>
      </w:r>
    </w:p>
    <w:p w:rsidR="004B0A91" w:rsidRPr="007D1E48" w:rsidRDefault="007D1E48" w:rsidP="004B0A91">
      <w:pPr>
        <w:pStyle w:val="Heading3"/>
        <w:spacing w:before="74"/>
        <w:ind w:left="720"/>
        <w:rPr>
          <w:b w:val="0"/>
        </w:rPr>
      </w:pPr>
      <w:r>
        <w:rPr>
          <w:b w:val="0"/>
        </w:rPr>
        <w:t>4</w:t>
      </w:r>
      <w:r w:rsidR="004B0A91" w:rsidRPr="007D1E48">
        <w:rPr>
          <w:b w:val="0"/>
        </w:rPr>
        <w:t xml:space="preserve">. Jones, K., Baines, R., Lang, I. (2014) Initiating Discussion in End of life Care: Clinician’s Perspectives. </w:t>
      </w:r>
      <w:proofErr w:type="spellStart"/>
      <w:r w:rsidR="004B0A91" w:rsidRPr="007D1E48">
        <w:rPr>
          <w:b w:val="0"/>
        </w:rPr>
        <w:t>BMJSupportive</w:t>
      </w:r>
      <w:proofErr w:type="spellEnd"/>
      <w:r w:rsidR="004B0A91" w:rsidRPr="007D1E48">
        <w:rPr>
          <w:b w:val="0"/>
        </w:rPr>
        <w:t xml:space="preserve"> &amp; Palliative Care (</w:t>
      </w:r>
      <w:proofErr w:type="spellStart"/>
      <w:r w:rsidR="004B0A91" w:rsidRPr="007D1E48">
        <w:rPr>
          <w:b w:val="0"/>
        </w:rPr>
        <w:t>Suppl</w:t>
      </w:r>
      <w:proofErr w:type="spellEnd"/>
      <w:r w:rsidR="004B0A91" w:rsidRPr="007D1E48">
        <w:rPr>
          <w:b w:val="0"/>
        </w:rPr>
        <w:t xml:space="preserve"> 1): A85. DOI: 10.1136/bmjspcare-2014- 000654.244. </w:t>
      </w:r>
    </w:p>
    <w:p w:rsidR="00AE3E37" w:rsidRDefault="007D1E48" w:rsidP="004B0A91">
      <w:pPr>
        <w:pStyle w:val="Heading3"/>
        <w:spacing w:before="74"/>
        <w:ind w:left="720"/>
      </w:pPr>
      <w:r>
        <w:rPr>
          <w:b w:val="0"/>
        </w:rPr>
        <w:t>5</w:t>
      </w:r>
      <w:r w:rsidR="004B0A91" w:rsidRPr="007D1E48">
        <w:rPr>
          <w:b w:val="0"/>
        </w:rPr>
        <w:t xml:space="preserve">. Jones, K (2013) Researching Sensitive Subjects </w:t>
      </w:r>
      <w:proofErr w:type="gramStart"/>
      <w:r w:rsidR="004B0A91" w:rsidRPr="007D1E48">
        <w:rPr>
          <w:b w:val="0"/>
        </w:rPr>
        <w:t>Among</w:t>
      </w:r>
      <w:proofErr w:type="gramEnd"/>
      <w:r w:rsidR="004B0A91" w:rsidRPr="007D1E48">
        <w:rPr>
          <w:b w:val="0"/>
        </w:rPr>
        <w:t xml:space="preserve"> a Vulnerable Population. </w:t>
      </w:r>
      <w:proofErr w:type="gramStart"/>
      <w:r w:rsidR="004B0A91" w:rsidRPr="007D1E48">
        <w:rPr>
          <w:b w:val="0"/>
        </w:rPr>
        <w:t>Methodological Innovations Online 8 (1) 113-.</w:t>
      </w:r>
      <w:proofErr w:type="gramEnd"/>
      <w:r w:rsidR="004B0A91" w:rsidRPr="007D1E48">
        <w:rPr>
          <w:b w:val="0"/>
        </w:rPr>
        <w:t xml:space="preserve"> </w:t>
      </w:r>
      <w:r w:rsidR="00A9710C" w:rsidRPr="007D1E48">
        <w:rPr>
          <w:b w:val="0"/>
        </w:rPr>
        <w:br w:type="column"/>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rsidR="00AE3E37" w:rsidRDefault="00AE3E37">
      <w:pPr>
        <w:pStyle w:val="BodyText"/>
        <w:rPr>
          <w:rFonts w:ascii="Calibri"/>
          <w:sz w:val="20"/>
        </w:rPr>
      </w:pPr>
    </w:p>
    <w:p w:rsidR="00AE3E37" w:rsidRDefault="00335177">
      <w:pPr>
        <w:pStyle w:val="BodyText"/>
        <w:spacing w:line="40" w:lineRule="exact"/>
        <w:ind w:left="2202"/>
        <w:rPr>
          <w:rFonts w:ascii="Calibri"/>
          <w:sz w:val="4"/>
        </w:rPr>
      </w:pPr>
      <w:r w:rsidRPr="00335177">
        <w:rPr>
          <w:rFonts w:ascii="Calibri"/>
          <w:noProof/>
          <w:sz w:val="4"/>
          <w:lang w:val="en-IN" w:eastAsia="en-IN"/>
        </w:rPr>
      </w:r>
      <w:r w:rsidRPr="00335177">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7D1E48" w:rsidRDefault="004808A9"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w:t>
      </w:r>
    </w:p>
    <w:p w:rsidR="004808A9" w:rsidRDefault="007D1E48" w:rsidP="007D1E48">
      <w:pPr>
        <w:autoSpaceDE w:val="0"/>
        <w:autoSpaceDN w:val="0"/>
        <w:adjustRightInd w:val="0"/>
        <w:rPr>
          <w:rFonts w:ascii="ArialMT" w:hAnsi="ArialMT" w:cs="ArialMT"/>
        </w:rPr>
      </w:pPr>
      <w:r>
        <w:rPr>
          <w:rFonts w:ascii="ArialMT" w:hAnsi="ArialMT" w:cs="ArialMT"/>
        </w:rPr>
        <w:t>End of Life Care, dementia, death, dying and care</w:t>
      </w:r>
    </w:p>
    <w:p w:rsidR="007D1E48" w:rsidRDefault="007D1E48" w:rsidP="007D1E48">
      <w:pPr>
        <w:autoSpaceDE w:val="0"/>
        <w:autoSpaceDN w:val="0"/>
        <w:adjustRightInd w:val="0"/>
        <w:rPr>
          <w:rFonts w:ascii="ArialMT" w:hAnsi="ArialMT" w:cs="ArialMT"/>
        </w:rPr>
      </w:pPr>
      <w:proofErr w:type="gramStart"/>
      <w:r>
        <w:rPr>
          <w:rFonts w:ascii="ArialMT" w:hAnsi="ArialMT" w:cs="ArialMT"/>
        </w:rPr>
        <w:t>over</w:t>
      </w:r>
      <w:proofErr w:type="gramEnd"/>
      <w:r>
        <w:rPr>
          <w:rFonts w:ascii="ArialMT" w:hAnsi="ArialMT" w:cs="ArialMT"/>
        </w:rPr>
        <w:t xml:space="preserve"> the life course has been one of my major research and teaching themes and is a subject at the Open University which has attracted over 15,000 students. As a university our aim is to provide universal access to professionals and scholars seeking to improve their practice, awareness and knowledge in working with vulnerable individuals. Our health and social care department is research intensive forming both national and international collaborations as well as the third sector. As the BBC television academic anchor there is a further and necessary reach to the public on End of life Care and death and dying.</w:t>
      </w:r>
    </w:p>
    <w:p w:rsidR="007D1E48" w:rsidRDefault="007D1E48" w:rsidP="007D1E48">
      <w:pPr>
        <w:autoSpaceDE w:val="0"/>
        <w:autoSpaceDN w:val="0"/>
        <w:adjustRightInd w:val="0"/>
        <w:rPr>
          <w:rFonts w:ascii="ArialMT" w:hAnsi="ArialMT" w:cs="ArialMT"/>
        </w:rPr>
      </w:pPr>
    </w:p>
    <w:p w:rsidR="007D1E48" w:rsidRDefault="007D1E48" w:rsidP="00404E5B">
      <w:pPr>
        <w:spacing w:before="92"/>
        <w:ind w:right="4234"/>
        <w:rPr>
          <w:rFonts w:ascii="Arial"/>
        </w:rPr>
      </w:pPr>
    </w:p>
    <w:p w:rsidR="00AE3E37" w:rsidRDefault="00335177">
      <w:pPr>
        <w:pStyle w:val="BodyText"/>
        <w:spacing w:before="2"/>
        <w:rPr>
          <w:rFonts w:ascii="Arial"/>
          <w:sz w:val="19"/>
        </w:rPr>
      </w:pPr>
      <w:r w:rsidRPr="00335177">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7D1E48">
        <w:rPr>
          <w:rFonts w:ascii="Arial"/>
          <w:sz w:val="19"/>
        </w:rPr>
        <w:t>Email: Kerry.jones@open.ac.uk</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3284" w:rsidRDefault="00013284">
      <w:r>
        <w:separator/>
      </w:r>
    </w:p>
  </w:endnote>
  <w:endnote w:type="continuationSeparator" w:id="0">
    <w:p w:rsidR="00013284" w:rsidRDefault="000132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inion-Regular">
    <w:panose1 w:val="00000000000000000000"/>
    <w:charset w:val="00"/>
    <w:family w:val="roman"/>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81D" w:rsidRDefault="00D1581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35177">
    <w:pPr>
      <w:pStyle w:val="BodyText"/>
      <w:spacing w:line="14" w:lineRule="auto"/>
      <w:rPr>
        <w:sz w:val="20"/>
      </w:rPr>
    </w:pPr>
    <w:r w:rsidRPr="0033517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33517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3517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81D" w:rsidRDefault="00D158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3284" w:rsidRDefault="00013284">
      <w:r>
        <w:separator/>
      </w:r>
    </w:p>
  </w:footnote>
  <w:footnote w:type="continuationSeparator" w:id="0">
    <w:p w:rsidR="00013284" w:rsidRDefault="000132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81D" w:rsidRDefault="00D1581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1581D">
    <w:pPr>
      <w:pStyle w:val="BodyText"/>
      <w:spacing w:line="14" w:lineRule="auto"/>
      <w:rPr>
        <w:sz w:val="20"/>
      </w:rPr>
    </w:pPr>
    <w:r>
      <w:rPr>
        <w:noProof/>
        <w:sz w:val="20"/>
        <w:lang w:val="en-GB" w:eastAsia="en-GB"/>
      </w:rPr>
      <w:drawing>
        <wp:inline distT="0" distB="0" distL="0" distR="0">
          <wp:extent cx="6773875" cy="1009497"/>
          <wp:effectExtent l="0" t="0" r="0" b="635"/>
          <wp:docPr id="3" name="Picture 3" descr="D:\2017\ICAG 2017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017\ICAG 2017 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75570" cy="1009750"/>
                  </a:xfrm>
                  <a:prstGeom prst="rect">
                    <a:avLst/>
                  </a:prstGeom>
                  <a:noFill/>
                  <a:ln>
                    <a:noFill/>
                  </a:ln>
                </pic:spPr>
              </pic:pic>
            </a:graphicData>
          </a:graphic>
        </wp:inline>
      </w:drawing>
    </w:r>
    <w:bookmarkStart w:id="0" w:name="_GoBack"/>
    <w:bookmarkEnd w:id="0"/>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81D" w:rsidRDefault="00D1581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F184C"/>
    <w:multiLevelType w:val="hybridMultilevel"/>
    <w:tmpl w:val="3CECA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13284"/>
    <w:rsid w:val="000E2911"/>
    <w:rsid w:val="001263DF"/>
    <w:rsid w:val="00292ED9"/>
    <w:rsid w:val="00335177"/>
    <w:rsid w:val="00404E5B"/>
    <w:rsid w:val="00414F7B"/>
    <w:rsid w:val="004276CE"/>
    <w:rsid w:val="004355DC"/>
    <w:rsid w:val="004749B4"/>
    <w:rsid w:val="004808A9"/>
    <w:rsid w:val="00484C45"/>
    <w:rsid w:val="00494130"/>
    <w:rsid w:val="004B0A91"/>
    <w:rsid w:val="004F3523"/>
    <w:rsid w:val="005973B9"/>
    <w:rsid w:val="005B3A56"/>
    <w:rsid w:val="006060CE"/>
    <w:rsid w:val="0063497F"/>
    <w:rsid w:val="006805E6"/>
    <w:rsid w:val="007D1E48"/>
    <w:rsid w:val="00873DF0"/>
    <w:rsid w:val="008756E6"/>
    <w:rsid w:val="009B2D44"/>
    <w:rsid w:val="00A07E82"/>
    <w:rsid w:val="00A121DA"/>
    <w:rsid w:val="00A9710C"/>
    <w:rsid w:val="00AE3E37"/>
    <w:rsid w:val="00B21A57"/>
    <w:rsid w:val="00C33602"/>
    <w:rsid w:val="00CD6F55"/>
    <w:rsid w:val="00D1581D"/>
    <w:rsid w:val="00DE3104"/>
    <w:rsid w:val="00DE6D9F"/>
    <w:rsid w:val="00F72EEA"/>
    <w:rsid w:val="00F84CA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Laptop</cp:lastModifiedBy>
  <cp:revision>2</cp:revision>
  <dcterms:created xsi:type="dcterms:W3CDTF">2016-09-22T14:49:00Z</dcterms:created>
  <dcterms:modified xsi:type="dcterms:W3CDTF">2016-09-22T14:49:00Z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