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EF073F" w:rsidRDefault="005D4AF5" w:rsidP="005D4AF5">
      <w:pPr>
        <w:rPr>
          <w:rFonts w:eastAsia="Calibri"/>
          <w:sz w:val="32"/>
        </w:rPr>
      </w:pPr>
      <w:bookmarkStart w:id="0" w:name="_GoBack"/>
      <w:r w:rsidRPr="00EF073F">
        <w:rPr>
          <w:rFonts w:eastAsia="Calibri"/>
          <w:sz w:val="32"/>
        </w:rPr>
        <w:t>Frailty Assessment in Hospitalized Older Adults Using the Electronic Health Record</w:t>
      </w:r>
    </w:p>
    <w:bookmarkEnd w:id="0"/>
    <w:p w:rsidR="005D4AF5" w:rsidRDefault="005D4AF5" w:rsidP="005973B9">
      <w:pPr>
        <w:pStyle w:val="BodyText"/>
        <w:spacing w:before="73" w:line="198" w:lineRule="exact"/>
        <w:ind w:left="100" w:right="5987"/>
        <w:rPr>
          <w:rFonts w:ascii="Arial"/>
        </w:rPr>
      </w:pPr>
      <w:r>
        <w:rPr>
          <w:rFonts w:ascii="Arial"/>
        </w:rPr>
        <w:t xml:space="preserve">Deborah A. </w:t>
      </w:r>
      <w:proofErr w:type="spellStart"/>
      <w:r>
        <w:rPr>
          <w:rFonts w:ascii="Arial"/>
        </w:rPr>
        <w:t>Lekan</w:t>
      </w:r>
      <w:proofErr w:type="spellEnd"/>
      <w:r>
        <w:rPr>
          <w:rFonts w:ascii="Arial"/>
        </w:rPr>
        <w:t>, PhD, RN-BC, University of North Carolina at Greensboro, USA</w:t>
      </w:r>
    </w:p>
    <w:p w:rsidR="005D4AF5" w:rsidRDefault="005D4AF5" w:rsidP="005D4AF5">
      <w:pPr>
        <w:pStyle w:val="BodyText"/>
        <w:spacing w:before="73" w:line="198" w:lineRule="exact"/>
        <w:ind w:left="100" w:right="5987"/>
        <w:rPr>
          <w:rFonts w:ascii="Arial"/>
        </w:rPr>
      </w:pPr>
      <w:r>
        <w:rPr>
          <w:rFonts w:ascii="Arial"/>
        </w:rPr>
        <w:t>Thomas McCoy, PhD, University of North Carolina at Greensboro, USA</w:t>
      </w:r>
    </w:p>
    <w:p w:rsidR="005D4AF5" w:rsidRDefault="005D4AF5" w:rsidP="005D4AF5">
      <w:pPr>
        <w:pStyle w:val="BodyText"/>
        <w:spacing w:before="73" w:line="198" w:lineRule="exact"/>
        <w:ind w:left="100" w:right="5987"/>
        <w:rPr>
          <w:rFonts w:ascii="Arial"/>
        </w:rPr>
      </w:pPr>
      <w:r>
        <w:rPr>
          <w:rFonts w:ascii="Arial"/>
        </w:rPr>
        <w:t>Debra C. Wallace, PhD, RN, FAAN, University of North Carolina at Greensboro, USA</w:t>
      </w:r>
    </w:p>
    <w:p w:rsidR="005D4AF5" w:rsidRDefault="005D4AF5" w:rsidP="005D4AF5">
      <w:pPr>
        <w:pStyle w:val="BodyText"/>
        <w:spacing w:before="73" w:line="198" w:lineRule="exact"/>
        <w:ind w:left="100" w:right="5987"/>
        <w:rPr>
          <w:rFonts w:ascii="Arial"/>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5D4AF5" w:rsidRPr="00FC4CE7" w:rsidRDefault="005D4AF5" w:rsidP="005D4AF5">
      <w:r w:rsidRPr="00FC4CE7">
        <w:t xml:space="preserve">Introduction: Frailty is a clinical syndrome of decreased physiologic reserve and dysregulation in multiple physiologic systems that is associated with increased risk for adverse outcomes. </w:t>
      </w:r>
    </w:p>
    <w:p w:rsidR="005D4AF5" w:rsidRPr="00FC4CE7" w:rsidRDefault="005D4AF5" w:rsidP="005D4AF5">
      <w:r w:rsidRPr="00FC4CE7">
        <w:t xml:space="preserve">Purpose: The aim of this retrospective, cross-sectional, correlational study was to characterize frailty in older adults admitted to a tertiary care hospital using a biopsychosocial frailty assessment and to determine associations between frailty and adverse outcomes including time to in-hospital mortality and 30-day </w:t>
      </w:r>
      <w:proofErr w:type="spellStart"/>
      <w:r w:rsidRPr="00FC4CE7">
        <w:t>rehospitalization</w:t>
      </w:r>
      <w:proofErr w:type="spellEnd"/>
      <w:r w:rsidRPr="00FC4CE7">
        <w:t xml:space="preserve">. </w:t>
      </w:r>
    </w:p>
    <w:p w:rsidR="005D4AF5" w:rsidRPr="00FC4CE7" w:rsidRDefault="005D4AF5" w:rsidP="005D4AF5">
      <w:r w:rsidRPr="00FC4CE7">
        <w:t xml:space="preserve">Methods: The sample included </w:t>
      </w:r>
      <w:r w:rsidR="00B17E9C">
        <w:t>medical in</w:t>
      </w:r>
      <w:r w:rsidRPr="00FC4CE7">
        <w:t xml:space="preserve">patients </w:t>
      </w:r>
      <w:r w:rsidRPr="00FC4CE7">
        <w:sym w:font="Symbol" w:char="F0B3"/>
      </w:r>
      <w:r w:rsidRPr="00FC4CE7">
        <w:t>55 years at a tertiary care hospital (</w:t>
      </w:r>
      <w:r w:rsidRPr="00FC4CE7">
        <w:rPr>
          <w:i/>
        </w:rPr>
        <w:t>N</w:t>
      </w:r>
      <w:r w:rsidRPr="00FC4CE7">
        <w:t xml:space="preserve">=278) in the U.S. Frailty was determined using </w:t>
      </w:r>
      <w:r w:rsidR="0024195E" w:rsidRPr="00FC4CE7">
        <w:t xml:space="preserve">existing </w:t>
      </w:r>
      <w:r w:rsidRPr="00FC4CE7">
        <w:t xml:space="preserve">clinical data from the electronic health record for symptoms, syndromes, conditions, and laboratory data for four serum biomarkers. A Frailty Risk Score was created from 16 risk factors and relationships between Frailty Risk Score and outcomes were examined. </w:t>
      </w:r>
    </w:p>
    <w:p w:rsidR="005D4AF5" w:rsidRPr="00FC4CE7" w:rsidRDefault="005D4AF5" w:rsidP="00FC4CE7">
      <w:pPr>
        <w:widowControl/>
        <w:autoSpaceDE w:val="0"/>
        <w:autoSpaceDN w:val="0"/>
        <w:adjustRightInd w:val="0"/>
      </w:pPr>
      <w:r w:rsidRPr="00FC4CE7">
        <w:t>Results: The mean age was 70.2 years and mean Frailty Risk Score was 9.4 (</w:t>
      </w:r>
      <w:r w:rsidRPr="00FC4CE7">
        <w:rPr>
          <w:i/>
        </w:rPr>
        <w:t>SD</w:t>
      </w:r>
      <w:r w:rsidRPr="00FC4CE7">
        <w:t xml:space="preserve">, 2.2).  Increased Frailty Risk Scores were significantly associated with increased risk of death (HR=1.77 to 2.27 for 3 days </w:t>
      </w:r>
      <w:r w:rsidRPr="00FC4CE7">
        <w:sym w:font="Symbol" w:char="F0A3"/>
      </w:r>
      <w:r w:rsidRPr="00FC4CE7">
        <w:t xml:space="preserve"> LOS </w:t>
      </w:r>
      <w:r w:rsidRPr="00FC4CE7">
        <w:sym w:font="Symbol" w:char="F0A3"/>
      </w:r>
      <w:r w:rsidRPr="00FC4CE7">
        <w:t xml:space="preserve"> 7 days) but depended upon length of stay (</w:t>
      </w:r>
      <w:r w:rsidRPr="00FC4CE7">
        <w:rPr>
          <w:i/>
        </w:rPr>
        <w:t>p</w:t>
      </w:r>
      <w:r w:rsidRPr="00FC4CE7">
        <w:t xml:space="preserve"> &lt; 0.001). Frailty was marginally associated with </w:t>
      </w:r>
      <w:proofErr w:type="spellStart"/>
      <w:r w:rsidRPr="00FC4CE7">
        <w:t>rehospitalization</w:t>
      </w:r>
      <w:proofErr w:type="spellEnd"/>
      <w:r w:rsidRPr="00FC4CE7">
        <w:t xml:space="preserve"> for those who did not die in-hospital (</w:t>
      </w:r>
      <w:r w:rsidRPr="00FC4CE7">
        <w:rPr>
          <w:i/>
        </w:rPr>
        <w:t>AOR</w:t>
      </w:r>
      <w:r w:rsidRPr="00FC4CE7">
        <w:t xml:space="preserve">=1.18, </w:t>
      </w:r>
      <w:r w:rsidRPr="00FC4CE7">
        <w:rPr>
          <w:i/>
        </w:rPr>
        <w:t>p</w:t>
      </w:r>
      <w:r w:rsidRPr="00FC4CE7">
        <w:t xml:space="preserve">=0.086, AUC=0.66, 95% CI for AUC= (0.57, 0.76)). </w:t>
      </w:r>
      <w:r w:rsidR="00FC4CE7" w:rsidRPr="00FC4CE7">
        <w:rPr>
          <w:rFonts w:eastAsiaTheme="minorHAnsi" w:cs="TimesNewRoman"/>
        </w:rPr>
        <w:t xml:space="preserve">The Frailty Risk Score may reflect </w:t>
      </w:r>
      <w:r w:rsidR="004D6171" w:rsidRPr="00FC4CE7">
        <w:rPr>
          <w:rFonts w:eastAsiaTheme="minorHAnsi" w:cs="TimesNewRoman"/>
        </w:rPr>
        <w:t>complexity</w:t>
      </w:r>
      <w:r w:rsidR="004D6171" w:rsidRPr="00FC4CE7">
        <w:rPr>
          <w:rFonts w:eastAsiaTheme="minorHAnsi" w:cs="TimesNewRoman"/>
        </w:rPr>
        <w:t xml:space="preserve"> </w:t>
      </w:r>
      <w:r w:rsidR="008754C8">
        <w:rPr>
          <w:rFonts w:eastAsiaTheme="minorHAnsi" w:cs="TimesNewRoman"/>
        </w:rPr>
        <w:t xml:space="preserve">more than </w:t>
      </w:r>
      <w:r w:rsidR="00FC4CE7" w:rsidRPr="00FC4CE7">
        <w:rPr>
          <w:rFonts w:eastAsiaTheme="minorHAnsi" w:cs="TimesNewRoman"/>
        </w:rPr>
        <w:t>individual</w:t>
      </w:r>
      <w:r w:rsidR="00FC4CE7" w:rsidRPr="00FC4CE7">
        <w:rPr>
          <w:rFonts w:eastAsiaTheme="minorHAnsi" w:cs="TimesNewRoman"/>
        </w:rPr>
        <w:t xml:space="preserve"> </w:t>
      </w:r>
      <w:r w:rsidR="00FC4CE7" w:rsidRPr="00FC4CE7">
        <w:rPr>
          <w:rFonts w:eastAsiaTheme="minorHAnsi" w:cs="TimesNewRoman"/>
        </w:rPr>
        <w:t>assessments of symptoms</w:t>
      </w:r>
      <w:r w:rsidR="008754C8">
        <w:rPr>
          <w:rFonts w:eastAsiaTheme="minorHAnsi" w:cs="TimesNewRoman"/>
        </w:rPr>
        <w:t>,</w:t>
      </w:r>
      <w:r w:rsidR="00FC4CE7" w:rsidRPr="00FC4CE7">
        <w:rPr>
          <w:rFonts w:eastAsiaTheme="minorHAnsi" w:cs="TimesNewRoman"/>
        </w:rPr>
        <w:t xml:space="preserve"> diseases, </w:t>
      </w:r>
      <w:r w:rsidR="008754C8">
        <w:rPr>
          <w:rFonts w:eastAsiaTheme="minorHAnsi" w:cs="TimesNewRoman"/>
        </w:rPr>
        <w:t>or</w:t>
      </w:r>
      <w:r w:rsidR="00FC4CE7" w:rsidRPr="00FC4CE7">
        <w:rPr>
          <w:rFonts w:eastAsiaTheme="minorHAnsi" w:cs="TimesNewRoman"/>
        </w:rPr>
        <w:t xml:space="preserve"> </w:t>
      </w:r>
      <w:r w:rsidR="008754C8">
        <w:rPr>
          <w:rFonts w:eastAsiaTheme="minorHAnsi" w:cs="TimesNewRoman"/>
        </w:rPr>
        <w:t xml:space="preserve">age; </w:t>
      </w:r>
      <w:r w:rsidR="00FC4CE7" w:rsidRPr="00FC4CE7">
        <w:rPr>
          <w:rFonts w:eastAsiaTheme="minorHAnsi" w:cs="TimesNewRoman"/>
        </w:rPr>
        <w:t>age was significantly associated with</w:t>
      </w:r>
      <w:r w:rsidR="00FC4CE7" w:rsidRPr="00FC4CE7">
        <w:rPr>
          <w:rFonts w:eastAsiaTheme="minorHAnsi" w:cs="TimesNewRoman"/>
        </w:rPr>
        <w:t xml:space="preserve"> </w:t>
      </w:r>
      <w:r w:rsidR="00FC4CE7" w:rsidRPr="00FC4CE7">
        <w:rPr>
          <w:rFonts w:eastAsiaTheme="minorHAnsi" w:cs="TimesNewRoman"/>
        </w:rPr>
        <w:t>Frailty Risk Score (</w:t>
      </w:r>
      <w:r w:rsidR="00FC4CE7" w:rsidRPr="00FC4CE7">
        <w:rPr>
          <w:rFonts w:ascii="Calibri" w:eastAsiaTheme="minorHAnsi" w:hAnsi="Calibri" w:cs="Calibri"/>
          <w:i/>
          <w:iCs/>
        </w:rPr>
        <w:t>β</w:t>
      </w:r>
      <w:r w:rsidR="00FC4CE7" w:rsidRPr="00FC4CE7">
        <w:rPr>
          <w:rFonts w:eastAsiaTheme="minorHAnsi" w:cs="TimesNewRoman"/>
        </w:rPr>
        <w:t xml:space="preserve">= 0.039, </w:t>
      </w:r>
      <w:r w:rsidR="00FC4CE7" w:rsidRPr="00FC4CE7">
        <w:rPr>
          <w:rFonts w:eastAsiaTheme="minorHAnsi" w:cs="TimesNewRoman,Italic"/>
          <w:i/>
          <w:iCs/>
        </w:rPr>
        <w:t>t</w:t>
      </w:r>
      <w:r w:rsidR="00FC4CE7" w:rsidRPr="00FC4CE7">
        <w:rPr>
          <w:rFonts w:eastAsiaTheme="minorHAnsi" w:cs="TimesNewRoman"/>
        </w:rPr>
        <w:t xml:space="preserve">= 3.16, </w:t>
      </w:r>
      <w:r w:rsidR="00FC4CE7" w:rsidRPr="00FC4CE7">
        <w:rPr>
          <w:rFonts w:eastAsiaTheme="minorHAnsi" w:cs="TimesNewRoman,Italic"/>
          <w:i/>
          <w:iCs/>
        </w:rPr>
        <w:t xml:space="preserve">p </w:t>
      </w:r>
      <w:r w:rsidR="00FC4CE7" w:rsidRPr="00FC4CE7">
        <w:rPr>
          <w:rFonts w:eastAsiaTheme="minorHAnsi" w:cs="TimesNewRoman"/>
        </w:rPr>
        <w:t>= 0.002) but no longer significant in regression controlling for other variables</w:t>
      </w:r>
      <w:r w:rsidR="008754C8">
        <w:rPr>
          <w:rFonts w:eastAsiaTheme="minorHAnsi" w:cs="TimesNewRoman"/>
        </w:rPr>
        <w:t xml:space="preserve">, and </w:t>
      </w:r>
      <w:r w:rsidR="00FC4CE7" w:rsidRPr="00FC4CE7">
        <w:rPr>
          <w:rFonts w:eastAsiaTheme="minorHAnsi" w:cs="TimesNewRoman"/>
        </w:rPr>
        <w:t xml:space="preserve">higher risk of </w:t>
      </w:r>
      <w:r w:rsidR="004D6171">
        <w:rPr>
          <w:rFonts w:eastAsiaTheme="minorHAnsi" w:cs="TimesNewRoman"/>
        </w:rPr>
        <w:t>death</w:t>
      </w:r>
      <w:r w:rsidR="00FC4CE7" w:rsidRPr="00FC4CE7">
        <w:rPr>
          <w:rFonts w:eastAsiaTheme="minorHAnsi" w:cs="TimesNewRoman"/>
        </w:rPr>
        <w:t xml:space="preserve"> was</w:t>
      </w:r>
      <w:r w:rsidR="00FC4CE7" w:rsidRPr="00FC4CE7">
        <w:rPr>
          <w:rFonts w:eastAsiaTheme="minorHAnsi" w:cs="TimesNewRoman"/>
        </w:rPr>
        <w:t xml:space="preserve"> </w:t>
      </w:r>
      <w:r w:rsidR="00FC4CE7" w:rsidRPr="00FC4CE7">
        <w:rPr>
          <w:rFonts w:eastAsiaTheme="minorHAnsi" w:cs="TimesNewRoman"/>
        </w:rPr>
        <w:t>associated with increased Frailty Risk Scores, controlling for age, gender, race.</w:t>
      </w:r>
    </w:p>
    <w:p w:rsidR="00AE3E37" w:rsidRPr="00FC4CE7" w:rsidRDefault="005D4AF5" w:rsidP="005D4AF5">
      <w:r w:rsidRPr="00FC4CE7">
        <w:t>Discussion: Readily available data in electronic health record</w:t>
      </w:r>
      <w:r w:rsidR="00B17E9C">
        <w:t>s</w:t>
      </w:r>
      <w:r w:rsidRPr="00FC4CE7">
        <w:t xml:space="preserve"> can be used for frailty assessment. Informatics may facilitate data aggregation and decision support. Because fra</w:t>
      </w:r>
      <w:r w:rsidR="008754C8">
        <w:t>ilty is potentially preventable</w:t>
      </w:r>
      <w:r w:rsidRPr="00FC4CE7">
        <w:t xml:space="preserve"> and treatable, early detection is crucial to delivery of tailored interventions to achieve optimal patient outcomes.</w:t>
      </w:r>
    </w:p>
    <w:p w:rsidR="00AE3E37" w:rsidRDefault="00A9710C">
      <w:pPr>
        <w:pStyle w:val="Heading3"/>
        <w:spacing w:before="74"/>
      </w:pPr>
      <w:r w:rsidRPr="00FC4CE7">
        <w:rPr>
          <w:rFonts w:ascii="Tw Cen MT" w:hAnsi="Tw Cen MT"/>
          <w:b w:val="0"/>
          <w:sz w:val="22"/>
          <w:szCs w:val="22"/>
        </w:rPr>
        <w:br w:type="column"/>
      </w:r>
      <w:r>
        <w:rPr>
          <w:color w:val="BF5A14"/>
        </w:rPr>
        <w:t>Image</w:t>
      </w:r>
    </w:p>
    <w:p w:rsidR="00AE3E37" w:rsidRDefault="005D4AF5">
      <w:pPr>
        <w:pStyle w:val="BodyText"/>
        <w:spacing w:before="2"/>
        <w:rPr>
          <w:rFonts w:ascii="Arial"/>
          <w:b/>
          <w:sz w:val="16"/>
        </w:rPr>
      </w:pPr>
      <w:r>
        <w:rPr>
          <w:noProof/>
          <w:color w:val="000000"/>
        </w:rPr>
        <w:drawing>
          <wp:inline distT="0" distB="0" distL="0" distR="0" wp14:anchorId="07224BB5" wp14:editId="49BF1BBF">
            <wp:extent cx="3165475" cy="1611170"/>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ee_30_30_Readmission_No_Died.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5475" cy="1611170"/>
                    </a:xfrm>
                    <a:prstGeom prst="rect">
                      <a:avLst/>
                    </a:prstGeom>
                  </pic:spPr>
                </pic:pic>
              </a:graphicData>
            </a:graphic>
          </wp:inline>
        </w:drawing>
      </w:r>
    </w:p>
    <w:p w:rsidR="005D4AF5" w:rsidRDefault="005D4AF5" w:rsidP="005973B9">
      <w:pPr>
        <w:spacing w:line="204" w:lineRule="exact"/>
        <w:rPr>
          <w:rFonts w:ascii="Arial"/>
          <w:b/>
          <w:color w:val="BF5A14"/>
          <w:sz w:val="20"/>
        </w:rPr>
      </w:pPr>
    </w:p>
    <w:p w:rsidR="00772A43" w:rsidRPr="00772A43" w:rsidRDefault="00772A43" w:rsidP="00772A43">
      <w:pPr>
        <w:rPr>
          <w:color w:val="000000"/>
          <w:sz w:val="18"/>
        </w:rPr>
      </w:pPr>
      <w:r w:rsidRPr="00772A43">
        <w:rPr>
          <w:color w:val="000000"/>
          <w:sz w:val="18"/>
          <w:szCs w:val="18"/>
        </w:rPr>
        <w:t xml:space="preserve">Figure 4. </w:t>
      </w:r>
      <w:r w:rsidRPr="00772A43">
        <w:rPr>
          <w:color w:val="000000"/>
          <w:sz w:val="18"/>
        </w:rPr>
        <w:t xml:space="preserve">Decision Tree for 30-day </w:t>
      </w:r>
      <w:proofErr w:type="spellStart"/>
      <w:r w:rsidRPr="00772A43">
        <w:rPr>
          <w:color w:val="000000"/>
          <w:sz w:val="18"/>
        </w:rPr>
        <w:t>Rehospitalization</w:t>
      </w:r>
      <w:proofErr w:type="spellEnd"/>
      <w:r w:rsidRPr="00772A43">
        <w:rPr>
          <w:color w:val="000000"/>
          <w:sz w:val="18"/>
        </w:rPr>
        <w:t xml:space="preserve"> from Recursive P</w:t>
      </w:r>
      <w:r>
        <w:rPr>
          <w:color w:val="000000"/>
          <w:sz w:val="18"/>
        </w:rPr>
        <w:t>artitioning</w:t>
      </w:r>
      <w:r w:rsidRPr="00772A43">
        <w:rPr>
          <w:color w:val="000000"/>
          <w:sz w:val="18"/>
          <w:szCs w:val="18"/>
        </w:rPr>
        <w:t>. Based on patients that did not die in-hospital (</w:t>
      </w:r>
      <w:r w:rsidRPr="00772A43">
        <w:rPr>
          <w:i/>
          <w:color w:val="000000"/>
          <w:sz w:val="18"/>
          <w:szCs w:val="18"/>
        </w:rPr>
        <w:t>N</w:t>
      </w:r>
      <w:r w:rsidRPr="00772A43">
        <w:rPr>
          <w:color w:val="000000"/>
          <w:sz w:val="18"/>
          <w:szCs w:val="18"/>
        </w:rPr>
        <w:t xml:space="preserve"> = 265). Non-White </w:t>
      </w:r>
      <w:proofErr w:type="spellStart"/>
      <w:r w:rsidRPr="00772A43">
        <w:rPr>
          <w:color w:val="000000"/>
          <w:sz w:val="18"/>
          <w:szCs w:val="18"/>
        </w:rPr>
        <w:t>vs.White</w:t>
      </w:r>
      <w:proofErr w:type="spellEnd"/>
      <w:r w:rsidRPr="00772A43">
        <w:rPr>
          <w:color w:val="000000"/>
          <w:sz w:val="18"/>
          <w:szCs w:val="18"/>
        </w:rPr>
        <w:t xml:space="preserve"> </w:t>
      </w:r>
      <w:r w:rsidRPr="00772A43">
        <w:rPr>
          <w:color w:val="000000"/>
          <w:sz w:val="18"/>
          <w:szCs w:val="18"/>
        </w:rPr>
        <w:sym w:font="Symbol" w:char="F0B3"/>
      </w:r>
      <w:r w:rsidRPr="00772A43">
        <w:rPr>
          <w:color w:val="000000"/>
          <w:sz w:val="18"/>
          <w:szCs w:val="18"/>
        </w:rPr>
        <w:t xml:space="preserve"> 0.5 = Non-White while &lt; 0.5 indicates </w:t>
      </w:r>
      <w:proofErr w:type="gramStart"/>
      <w:r w:rsidRPr="00772A43">
        <w:rPr>
          <w:color w:val="000000"/>
          <w:sz w:val="18"/>
          <w:szCs w:val="18"/>
        </w:rPr>
        <w:t>White  Female</w:t>
      </w:r>
      <w:proofErr w:type="gramEnd"/>
      <w:r w:rsidRPr="00772A43">
        <w:rPr>
          <w:color w:val="000000"/>
          <w:sz w:val="18"/>
          <w:szCs w:val="18"/>
        </w:rPr>
        <w:t xml:space="preserve"> vs. Male </w:t>
      </w:r>
      <w:r w:rsidRPr="00772A43">
        <w:rPr>
          <w:color w:val="000000"/>
          <w:sz w:val="18"/>
          <w:szCs w:val="18"/>
        </w:rPr>
        <w:sym w:font="Symbol" w:char="F0B3"/>
      </w:r>
      <w:r w:rsidRPr="00772A43">
        <w:rPr>
          <w:color w:val="000000"/>
          <w:sz w:val="18"/>
          <w:szCs w:val="18"/>
        </w:rPr>
        <w:t xml:space="preserve"> 0.5 = Female while &lt; 0.5 indicates Male</w:t>
      </w:r>
      <w:r>
        <w:rPr>
          <w:color w:val="000000"/>
          <w:sz w:val="18"/>
          <w:szCs w:val="18"/>
        </w:rPr>
        <w:t>.</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BB127E" w:rsidRDefault="00CF0B46" w:rsidP="005973B9">
      <w:pPr>
        <w:pStyle w:val="ListParagraph"/>
        <w:numPr>
          <w:ilvl w:val="0"/>
          <w:numId w:val="3"/>
        </w:numPr>
        <w:tabs>
          <w:tab w:val="left" w:pos="384"/>
        </w:tabs>
        <w:spacing w:before="103" w:line="216" w:lineRule="exact"/>
        <w:ind w:right="138" w:hanging="283"/>
        <w:rPr>
          <w:rFonts w:ascii="Tw Cen MT" w:hAnsi="Tw Cen MT"/>
          <w:sz w:val="20"/>
        </w:rPr>
      </w:pPr>
      <w:proofErr w:type="spellStart"/>
      <w:r w:rsidRPr="00BB127E">
        <w:rPr>
          <w:rFonts w:ascii="Tw Cen MT" w:hAnsi="Tw Cen MT"/>
          <w:sz w:val="20"/>
        </w:rPr>
        <w:t>Lekan</w:t>
      </w:r>
      <w:proofErr w:type="spellEnd"/>
      <w:r w:rsidRPr="00BB127E">
        <w:rPr>
          <w:rFonts w:ascii="Tw Cen MT" w:hAnsi="Tw Cen MT"/>
          <w:sz w:val="20"/>
        </w:rPr>
        <w:t>, D, Wallace, D, Hu, J., Silva, S, McCoy, T, &amp; Whitson, H. Assessment of frailty in hospitalized older adults using the electronic health record. Biological Research for Nursing, in press</w:t>
      </w:r>
      <w:r w:rsidR="005973B9" w:rsidRPr="00BB127E">
        <w:rPr>
          <w:rFonts w:ascii="Tw Cen MT" w:hAnsi="Tw Cen MT"/>
          <w:sz w:val="20"/>
        </w:rPr>
        <w:t>.</w:t>
      </w:r>
    </w:p>
    <w:p w:rsidR="005973B9" w:rsidRPr="00BB127E" w:rsidRDefault="00CF0B46" w:rsidP="005973B9">
      <w:pPr>
        <w:pStyle w:val="ListParagraph"/>
        <w:numPr>
          <w:ilvl w:val="0"/>
          <w:numId w:val="3"/>
        </w:numPr>
        <w:tabs>
          <w:tab w:val="left" w:pos="384"/>
        </w:tabs>
        <w:spacing w:line="216" w:lineRule="exact"/>
        <w:ind w:right="137" w:hanging="283"/>
        <w:rPr>
          <w:rFonts w:ascii="Tw Cen MT" w:hAnsi="Tw Cen MT"/>
          <w:sz w:val="20"/>
        </w:rPr>
      </w:pPr>
      <w:proofErr w:type="spellStart"/>
      <w:r w:rsidRPr="00BB127E">
        <w:rPr>
          <w:rFonts w:ascii="Tw Cen MT" w:hAnsi="Tw Cen MT"/>
          <w:sz w:val="20"/>
        </w:rPr>
        <w:t>Lekan</w:t>
      </w:r>
      <w:proofErr w:type="spellEnd"/>
      <w:r w:rsidRPr="00BB127E">
        <w:rPr>
          <w:rFonts w:ascii="Tw Cen MT" w:hAnsi="Tw Cen MT"/>
          <w:sz w:val="20"/>
        </w:rPr>
        <w:t>,</w:t>
      </w:r>
      <w:r w:rsidR="00900583" w:rsidRPr="00BB127E">
        <w:rPr>
          <w:rFonts w:ascii="Tw Cen MT" w:hAnsi="Tw Cen MT"/>
          <w:sz w:val="20"/>
        </w:rPr>
        <w:t xml:space="preserve"> D, Collins, S, &amp; </w:t>
      </w:r>
      <w:proofErr w:type="spellStart"/>
      <w:r w:rsidR="00900583" w:rsidRPr="00BB127E">
        <w:rPr>
          <w:rFonts w:ascii="Tw Cen MT" w:hAnsi="Tw Cen MT"/>
          <w:sz w:val="20"/>
        </w:rPr>
        <w:t>Hayajneh</w:t>
      </w:r>
      <w:proofErr w:type="spellEnd"/>
      <w:r w:rsidR="00900583" w:rsidRPr="00BB127E">
        <w:rPr>
          <w:rFonts w:ascii="Tw Cen MT" w:hAnsi="Tw Cen MT"/>
          <w:sz w:val="20"/>
        </w:rPr>
        <w:t>, A. Researcher p</w:t>
      </w:r>
      <w:r w:rsidRPr="00BB127E">
        <w:rPr>
          <w:rFonts w:ascii="Tw Cen MT" w:hAnsi="Tw Cen MT"/>
          <w:sz w:val="20"/>
        </w:rPr>
        <w:t xml:space="preserve">erceptions of frailty: A qualitative </w:t>
      </w:r>
      <w:proofErr w:type="spellStart"/>
      <w:r w:rsidRPr="00BB127E">
        <w:rPr>
          <w:rFonts w:ascii="Tw Cen MT" w:hAnsi="Tw Cen MT"/>
          <w:sz w:val="20"/>
        </w:rPr>
        <w:t>metasynthesis</w:t>
      </w:r>
      <w:proofErr w:type="spellEnd"/>
      <w:r w:rsidRPr="00BB127E">
        <w:rPr>
          <w:rFonts w:ascii="Tw Cen MT" w:hAnsi="Tw Cen MT"/>
          <w:sz w:val="20"/>
        </w:rPr>
        <w:t>. Under review</w:t>
      </w:r>
      <w:r w:rsidR="005973B9" w:rsidRPr="00BB127E">
        <w:rPr>
          <w:rFonts w:ascii="Tw Cen MT" w:hAnsi="Tw Cen MT"/>
          <w:sz w:val="20"/>
        </w:rPr>
        <w:t>.</w:t>
      </w:r>
    </w:p>
    <w:p w:rsidR="00900583" w:rsidRPr="00BB127E" w:rsidRDefault="00900583" w:rsidP="0071668A">
      <w:pPr>
        <w:pStyle w:val="ListParagraph"/>
        <w:numPr>
          <w:ilvl w:val="0"/>
          <w:numId w:val="3"/>
        </w:numPr>
        <w:tabs>
          <w:tab w:val="left" w:pos="384"/>
        </w:tabs>
        <w:spacing w:line="218" w:lineRule="exact"/>
        <w:ind w:right="138" w:hanging="283"/>
        <w:rPr>
          <w:rFonts w:ascii="Tw Cen MT" w:hAnsi="Tw Cen MT"/>
          <w:sz w:val="24"/>
        </w:rPr>
      </w:pPr>
      <w:proofErr w:type="spellStart"/>
      <w:r w:rsidRPr="00BB127E">
        <w:rPr>
          <w:rFonts w:ascii="Tw Cen MT" w:eastAsiaTheme="minorHAnsi" w:hAnsi="Tw Cen MT" w:cs="Times New Roman"/>
          <w:sz w:val="20"/>
          <w:szCs w:val="24"/>
        </w:rPr>
        <w:t>Lekan</w:t>
      </w:r>
      <w:proofErr w:type="spellEnd"/>
      <w:r w:rsidRPr="00BB127E">
        <w:rPr>
          <w:rFonts w:ascii="Tw Cen MT" w:eastAsiaTheme="minorHAnsi" w:hAnsi="Tw Cen MT" w:cs="Times New Roman"/>
          <w:sz w:val="20"/>
          <w:szCs w:val="24"/>
        </w:rPr>
        <w:t xml:space="preserve">, D, Callan, L, </w:t>
      </w:r>
      <w:proofErr w:type="spellStart"/>
      <w:r w:rsidRPr="00BB127E">
        <w:rPr>
          <w:rFonts w:ascii="Tw Cen MT" w:eastAsiaTheme="minorHAnsi" w:hAnsi="Tw Cen MT" w:cs="Times New Roman"/>
          <w:sz w:val="20"/>
          <w:szCs w:val="24"/>
        </w:rPr>
        <w:t>Aumendo</w:t>
      </w:r>
      <w:proofErr w:type="spellEnd"/>
      <w:r w:rsidRPr="00BB127E">
        <w:rPr>
          <w:rFonts w:ascii="Tw Cen MT" w:eastAsiaTheme="minorHAnsi" w:hAnsi="Tw Cen MT" w:cs="Times New Roman"/>
          <w:sz w:val="20"/>
          <w:szCs w:val="24"/>
        </w:rPr>
        <w:t xml:space="preserve">, K, Kissinger, C, Boudreault, G, Ingram, M, &amp; </w:t>
      </w:r>
      <w:proofErr w:type="spellStart"/>
      <w:r w:rsidRPr="00BB127E">
        <w:rPr>
          <w:rFonts w:ascii="Tw Cen MT" w:eastAsiaTheme="minorHAnsi" w:hAnsi="Tw Cen MT" w:cs="Times New Roman"/>
          <w:sz w:val="20"/>
          <w:szCs w:val="24"/>
        </w:rPr>
        <w:t>Tomshack</w:t>
      </w:r>
      <w:proofErr w:type="spellEnd"/>
      <w:r w:rsidRPr="00BB127E">
        <w:rPr>
          <w:rFonts w:ascii="Tw Cen MT" w:eastAsiaTheme="minorHAnsi" w:hAnsi="Tw Cen MT" w:cs="Times New Roman"/>
          <w:sz w:val="20"/>
          <w:szCs w:val="24"/>
        </w:rPr>
        <w:t>, R. (2016). Indwelling urinary catheters: Best practices update. Clinical practice guideline from the Society for Wound, Ostomy, Continence Nurses.</w:t>
      </w:r>
    </w:p>
    <w:p w:rsidR="00BB127E" w:rsidRPr="00BB127E" w:rsidRDefault="00BB127E" w:rsidP="00BB127E">
      <w:pPr>
        <w:pStyle w:val="NoSpacing"/>
        <w:numPr>
          <w:ilvl w:val="0"/>
          <w:numId w:val="3"/>
        </w:numPr>
        <w:spacing w:after="120"/>
        <w:rPr>
          <w:rFonts w:ascii="Times New Roman" w:hAnsi="Times New Roman" w:cs="Times New Roman"/>
          <w:sz w:val="28"/>
          <w:szCs w:val="24"/>
        </w:rPr>
      </w:pPr>
      <w:r w:rsidRPr="00BB127E">
        <w:rPr>
          <w:rFonts w:ascii="Tw Cen MT" w:hAnsi="Tw Cen MT" w:cs="Times New Roman"/>
          <w:sz w:val="20"/>
          <w:szCs w:val="24"/>
          <w:lang w:val="nb-NO"/>
        </w:rPr>
        <w:t xml:space="preserve">Lekan, D, Hendrix, C, McConnell, ES, &amp; White, H. (2010).  </w:t>
      </w:r>
      <w:r w:rsidRPr="00BB127E">
        <w:rPr>
          <w:rFonts w:ascii="Tw Cen MT" w:hAnsi="Tw Cen MT" w:cs="Times New Roman"/>
          <w:sz w:val="20"/>
          <w:szCs w:val="24"/>
        </w:rPr>
        <w:t xml:space="preserve">The connected learning model for disseminating evidence-based practices in clinical settings. </w:t>
      </w:r>
      <w:r>
        <w:rPr>
          <w:rFonts w:ascii="Tw Cen MT" w:hAnsi="Tw Cen MT" w:cs="Times New Roman"/>
          <w:i/>
          <w:sz w:val="20"/>
          <w:szCs w:val="24"/>
        </w:rPr>
        <w:t xml:space="preserve">Nurse Education in Practice, </w:t>
      </w:r>
      <w:r w:rsidRPr="00BB127E">
        <w:rPr>
          <w:rFonts w:ascii="Tw Cen MT" w:hAnsi="Tw Cen MT" w:cs="Times New Roman"/>
          <w:i/>
          <w:sz w:val="20"/>
          <w:szCs w:val="24"/>
        </w:rPr>
        <w:t xml:space="preserve">10, </w:t>
      </w:r>
      <w:r w:rsidRPr="00BB127E">
        <w:rPr>
          <w:rFonts w:ascii="Tw Cen MT" w:hAnsi="Tw Cen MT" w:cs="Times New Roman"/>
          <w:sz w:val="20"/>
          <w:szCs w:val="24"/>
        </w:rPr>
        <w:t>243-248</w:t>
      </w:r>
      <w:r w:rsidRPr="00BB127E">
        <w:rPr>
          <w:rFonts w:ascii="Times New Roman" w:hAnsi="Times New Roman" w:cs="Times New Roman"/>
          <w:i/>
          <w:sz w:val="28"/>
          <w:szCs w:val="24"/>
        </w:rPr>
        <w:t>.</w:t>
      </w:r>
    </w:p>
    <w:p w:rsidR="005973B9" w:rsidRPr="00BB127E" w:rsidRDefault="00CF0B46" w:rsidP="00BB127E">
      <w:pPr>
        <w:pStyle w:val="NoSpacing"/>
        <w:numPr>
          <w:ilvl w:val="0"/>
          <w:numId w:val="3"/>
        </w:numPr>
        <w:spacing w:after="120"/>
        <w:rPr>
          <w:rFonts w:ascii="Times New Roman" w:hAnsi="Times New Roman" w:cs="Times New Roman"/>
          <w:sz w:val="28"/>
          <w:szCs w:val="24"/>
        </w:rPr>
      </w:pPr>
      <w:proofErr w:type="spellStart"/>
      <w:r w:rsidRPr="00BB127E">
        <w:rPr>
          <w:rFonts w:ascii="Tw Cen MT" w:hAnsi="Tw Cen MT"/>
          <w:sz w:val="20"/>
        </w:rPr>
        <w:t>Lekan</w:t>
      </w:r>
      <w:proofErr w:type="spellEnd"/>
      <w:r w:rsidR="00900583" w:rsidRPr="00BB127E">
        <w:rPr>
          <w:rFonts w:ascii="Tw Cen MT" w:hAnsi="Tw Cen MT"/>
          <w:sz w:val="20"/>
        </w:rPr>
        <w:t xml:space="preserve">, D. </w:t>
      </w:r>
      <w:r w:rsidR="00900583" w:rsidRPr="00BB127E">
        <w:rPr>
          <w:rFonts w:ascii="Tw Cen MT" w:hAnsi="Tw Cen MT" w:cs="Times New Roman"/>
          <w:sz w:val="20"/>
          <w:szCs w:val="18"/>
        </w:rPr>
        <w:t>(2009). Frailty: Emerging concepts in care of the aged. Southern Online Journal of Nursing Research</w:t>
      </w:r>
      <w:r w:rsidR="00900583" w:rsidRPr="00BB127E">
        <w:rPr>
          <w:rFonts w:ascii="Tw Cen MT" w:hAnsi="Tw Cen MT" w:cs="Times New Roman"/>
          <w:i/>
          <w:sz w:val="20"/>
          <w:szCs w:val="18"/>
        </w:rPr>
        <w:t>, 9</w:t>
      </w:r>
      <w:r w:rsidR="00900583" w:rsidRPr="00BB127E">
        <w:rPr>
          <w:rFonts w:ascii="Tw Cen MT" w:hAnsi="Tw Cen MT" w:cs="Times New Roman"/>
          <w:sz w:val="20"/>
          <w:szCs w:val="18"/>
        </w:rPr>
        <w:t>(3).</w:t>
      </w:r>
    </w:p>
    <w:p w:rsidR="00BB127E" w:rsidRPr="00BB127E" w:rsidRDefault="00BB127E" w:rsidP="00BB127E">
      <w:pPr>
        <w:pStyle w:val="ListParagraph"/>
        <w:tabs>
          <w:tab w:val="left" w:pos="384"/>
        </w:tabs>
        <w:spacing w:line="218" w:lineRule="exact"/>
        <w:ind w:right="138" w:firstLine="0"/>
        <w:rPr>
          <w:rFonts w:ascii="Tw Cen MT" w:hAnsi="Tw Cen MT"/>
          <w:sz w:val="12"/>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5ABE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C3E21" w:rsidRPr="007C3E21">
        <w:rPr>
          <w:noProof/>
        </w:rPr>
        <w:drawing>
          <wp:inline distT="0" distB="0" distL="0" distR="0">
            <wp:extent cx="429567" cy="542925"/>
            <wp:effectExtent l="0" t="0" r="8890" b="0"/>
            <wp:docPr id="1" name="Picture 1" descr="C:\Users\dalekan\Desktop\Lekan_Debor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lekan\Desktop\Lekan_Deborah.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529" cy="54793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4195E">
      <w:pPr>
        <w:spacing w:before="41" w:line="154" w:lineRule="exact"/>
        <w:ind w:left="213" w:right="231"/>
        <w:jc w:val="both"/>
        <w:rPr>
          <w:rFonts w:ascii="Arial"/>
          <w:sz w:val="14"/>
        </w:rPr>
      </w:pPr>
      <w:r>
        <w:rPr>
          <w:rFonts w:ascii="Arial"/>
          <w:sz w:val="14"/>
        </w:rPr>
        <w:t xml:space="preserve">Deborah A. </w:t>
      </w:r>
      <w:proofErr w:type="spellStart"/>
      <w:r>
        <w:rPr>
          <w:rFonts w:ascii="Arial"/>
          <w:sz w:val="14"/>
        </w:rPr>
        <w:t>Lekan</w:t>
      </w:r>
      <w:proofErr w:type="spellEnd"/>
      <w:r w:rsidR="007C3E21">
        <w:rPr>
          <w:rFonts w:ascii="Arial"/>
          <w:sz w:val="14"/>
        </w:rPr>
        <w:t xml:space="preserve">, </w:t>
      </w:r>
      <w:proofErr w:type="spellStart"/>
      <w:r w:rsidR="007C3E21">
        <w:rPr>
          <w:rFonts w:ascii="Arial"/>
          <w:sz w:val="14"/>
        </w:rPr>
        <w:t>PhE</w:t>
      </w:r>
      <w:proofErr w:type="spellEnd"/>
      <w:r w:rsidR="007C3E21">
        <w:rPr>
          <w:rFonts w:ascii="Arial"/>
          <w:sz w:val="14"/>
        </w:rPr>
        <w:t>, RN-BC,</w:t>
      </w:r>
      <w:r>
        <w:rPr>
          <w:rFonts w:ascii="Arial"/>
          <w:sz w:val="14"/>
        </w:rPr>
        <w:t xml:space="preserve"> is a board certified </w:t>
      </w:r>
      <w:proofErr w:type="spellStart"/>
      <w:r>
        <w:rPr>
          <w:rFonts w:ascii="Arial"/>
          <w:sz w:val="14"/>
        </w:rPr>
        <w:t>gerontological</w:t>
      </w:r>
      <w:proofErr w:type="spellEnd"/>
      <w:r>
        <w:rPr>
          <w:rFonts w:ascii="Arial"/>
          <w:sz w:val="14"/>
        </w:rPr>
        <w:t xml:space="preserve"> nurse with a research focus on frailty in middle aged and</w:t>
      </w:r>
      <w:r w:rsidR="007C3E21">
        <w:rPr>
          <w:rFonts w:ascii="Arial"/>
          <w:sz w:val="14"/>
        </w:rPr>
        <w:t xml:space="preserve"> older adults and the use of big data and data science to use the abundant already collected, data from the electronic health record to examine problems such as frailty.  She is particularly interested in how </w:t>
      </w:r>
      <w:r w:rsidR="007C3E21">
        <w:rPr>
          <w:rFonts w:ascii="Arial"/>
          <w:sz w:val="14"/>
        </w:rPr>
        <w:lastRenderedPageBreak/>
        <w:t xml:space="preserve">health disparities and social determinants of health, especially psychosocial factors,  impact health status and risk for frailty and associated adverse health outcomes and risk-reduction interventions to promote patient recovery, and how novel data analytics can illuminate some of these complex issues. </w:t>
      </w:r>
    </w:p>
    <w:p w:rsidR="00AE3E37" w:rsidRDefault="00A9710C">
      <w:pPr>
        <w:spacing w:before="62"/>
        <w:ind w:left="4217" w:right="4235"/>
        <w:jc w:val="center"/>
        <w:rPr>
          <w:rFonts w:ascii="Arial"/>
          <w:sz w:val="14"/>
        </w:rPr>
      </w:pPr>
      <w:r>
        <w:rPr>
          <w:rFonts w:ascii="Arial"/>
          <w:sz w:val="14"/>
        </w:rPr>
        <w:t>Email:</w:t>
      </w:r>
      <w:r w:rsidR="0064615F">
        <w:rPr>
          <w:rFonts w:ascii="Arial"/>
          <w:sz w:val="14"/>
        </w:rPr>
        <w:t xml:space="preserve"> </w:t>
      </w:r>
      <w:hyperlink r:id="rId15" w:history="1">
        <w:r w:rsidR="0064615F" w:rsidRPr="006A3602">
          <w:rPr>
            <w:rStyle w:val="Hyperlink"/>
            <w:rFonts w:ascii="Arial"/>
            <w:sz w:val="14"/>
          </w:rPr>
          <w:t>dalekan@uncg.edu</w:t>
        </w:r>
      </w:hyperlink>
      <w:r w:rsidR="0064615F">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0B5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EF073F" w:rsidRDefault="00A9710C" w:rsidP="00EF073F">
      <w:pPr>
        <w:spacing w:before="39"/>
        <w:ind w:left="100"/>
        <w:rPr>
          <w:rFonts w:ascii="Minion Pro"/>
          <w:b/>
          <w:sz w:val="20"/>
        </w:rPr>
        <w:sectPr w:rsidR="00AE3E37" w:rsidRPr="00EF073F">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FDC" w:rsidRDefault="00136FDC">
      <w:r>
        <w:separator/>
      </w:r>
    </w:p>
  </w:endnote>
  <w:endnote w:type="continuationSeparator" w:id="0">
    <w:p w:rsidR="00136FDC" w:rsidRDefault="00136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New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81D" w:rsidRDefault="00D15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81D" w:rsidRDefault="00D15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FDC" w:rsidRDefault="00136FDC">
      <w:r>
        <w:separator/>
      </w:r>
    </w:p>
  </w:footnote>
  <w:footnote w:type="continuationSeparator" w:id="0">
    <w:p w:rsidR="00136FDC" w:rsidRDefault="00136F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81D" w:rsidRDefault="00D15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1581D">
    <w:pPr>
      <w:pStyle w:val="BodyText"/>
      <w:spacing w:line="14" w:lineRule="auto"/>
      <w:rPr>
        <w:sz w:val="20"/>
      </w:rPr>
    </w:pPr>
    <w:r>
      <w:rPr>
        <w:noProof/>
        <w:sz w:val="20"/>
      </w:rPr>
      <w:drawing>
        <wp:inline distT="0" distB="0" distL="0" distR="0">
          <wp:extent cx="6773875" cy="1009497"/>
          <wp:effectExtent l="0" t="0" r="0" b="635"/>
          <wp:docPr id="2" name="Picture 2" descr="D:\2017\ICAG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ICAG 2017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5570" cy="10097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81D" w:rsidRDefault="00D158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7A9076F"/>
    <w:multiLevelType w:val="hybridMultilevel"/>
    <w:tmpl w:val="B09822AA"/>
    <w:lvl w:ilvl="0" w:tplc="3A0AD9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6FDC"/>
    <w:rsid w:val="0024195E"/>
    <w:rsid w:val="0028288B"/>
    <w:rsid w:val="00292ED9"/>
    <w:rsid w:val="00396D10"/>
    <w:rsid w:val="003D16AA"/>
    <w:rsid w:val="00404E5B"/>
    <w:rsid w:val="00414F7B"/>
    <w:rsid w:val="004355DC"/>
    <w:rsid w:val="004749B4"/>
    <w:rsid w:val="00484C45"/>
    <w:rsid w:val="00494130"/>
    <w:rsid w:val="004D6171"/>
    <w:rsid w:val="004F3523"/>
    <w:rsid w:val="005973B9"/>
    <w:rsid w:val="005B3A56"/>
    <w:rsid w:val="005D4AF5"/>
    <w:rsid w:val="006060CE"/>
    <w:rsid w:val="0063497F"/>
    <w:rsid w:val="0064615F"/>
    <w:rsid w:val="0064751E"/>
    <w:rsid w:val="00664EB4"/>
    <w:rsid w:val="006805E6"/>
    <w:rsid w:val="00772A43"/>
    <w:rsid w:val="007C3E21"/>
    <w:rsid w:val="008477E4"/>
    <w:rsid w:val="00873DF0"/>
    <w:rsid w:val="008754C8"/>
    <w:rsid w:val="008756E6"/>
    <w:rsid w:val="00900583"/>
    <w:rsid w:val="009B2D44"/>
    <w:rsid w:val="009C0D59"/>
    <w:rsid w:val="00A07E82"/>
    <w:rsid w:val="00A9710C"/>
    <w:rsid w:val="00AE3E37"/>
    <w:rsid w:val="00B17E9C"/>
    <w:rsid w:val="00B21A57"/>
    <w:rsid w:val="00B73D1A"/>
    <w:rsid w:val="00BB127E"/>
    <w:rsid w:val="00C33602"/>
    <w:rsid w:val="00CD6F55"/>
    <w:rsid w:val="00CF0B46"/>
    <w:rsid w:val="00D1581D"/>
    <w:rsid w:val="00DE3104"/>
    <w:rsid w:val="00DE6D9F"/>
    <w:rsid w:val="00EF073F"/>
    <w:rsid w:val="00F72EEA"/>
    <w:rsid w:val="00F84CAE"/>
    <w:rsid w:val="00FC4C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E06EF3-2B0F-4841-AFB7-04FE4FAE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28288B"/>
    <w:pPr>
      <w:widowControl/>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alekan@uncg.edu"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Deborah Ann Lekan</cp:lastModifiedBy>
  <cp:revision>2</cp:revision>
  <dcterms:created xsi:type="dcterms:W3CDTF">2016-09-14T20:23:00Z</dcterms:created>
  <dcterms:modified xsi:type="dcterms:W3CDTF">2016-09-14T20:23:00Z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