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3B" w:rsidRDefault="00D66B0E">
      <w:r>
        <w:t>Pain Management in Older Adults</w:t>
      </w:r>
    </w:p>
    <w:p w:rsidR="00D66B0E" w:rsidRDefault="00D66B0E">
      <w:r>
        <w:t>Diane Chau MD Presenter</w:t>
      </w:r>
    </w:p>
    <w:p w:rsidR="00D66B0E" w:rsidRDefault="00D66B0E" w:rsidP="00D66B0E">
      <w:r>
        <w:t>Objective:</w:t>
      </w:r>
    </w:p>
    <w:p w:rsidR="00D66B0E" w:rsidRDefault="00D66B0E" w:rsidP="00D66B0E">
      <w:r>
        <w:t>Understand how to define and classify pain in older adults</w:t>
      </w:r>
    </w:p>
    <w:p w:rsidR="00D66B0E" w:rsidRDefault="00D66B0E" w:rsidP="00D66B0E">
      <w:r>
        <w:t>List social and environmental factors affecting the perception of pain and its treatment common to older adults</w:t>
      </w:r>
    </w:p>
    <w:p w:rsidR="00D66B0E" w:rsidRDefault="00D66B0E" w:rsidP="00D66B0E">
      <w:r>
        <w:t>Recognize the scales available to assess pain</w:t>
      </w:r>
    </w:p>
    <w:p w:rsidR="00D66B0E" w:rsidRDefault="00D66B0E" w:rsidP="00D66B0E">
      <w:r>
        <w:t>List medical and non-medical treatments available for pain</w:t>
      </w:r>
    </w:p>
    <w:p w:rsidR="00D66B0E" w:rsidRDefault="00D66B0E" w:rsidP="00D66B0E">
      <w:bookmarkStart w:id="0" w:name="_GoBack"/>
      <w:bookmarkEnd w:id="0"/>
    </w:p>
    <w:sectPr w:rsidR="00D66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B0E"/>
    <w:rsid w:val="00315B30"/>
    <w:rsid w:val="005457BE"/>
    <w:rsid w:val="00D6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Chau, Diane L. (VHASDC)</dc:creator>
  <cp:lastModifiedBy>Chau, Diane L. (VHASDC)</cp:lastModifiedBy>
  <cp:revision>1</cp:revision>
  <dcterms:created xsi:type="dcterms:W3CDTF">2016-06-19T18:05:00Z</dcterms:created>
  <dcterms:modified xsi:type="dcterms:W3CDTF">2016-06-19T18:10:00Z</dcterms:modified>
</cp:coreProperties>
</file>