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033" w:rsidRDefault="00FF0033" w:rsidP="00FF0033">
      <w:pPr>
        <w:shd w:val="clear" w:color="auto" w:fill="FFFFFF"/>
        <w:spacing w:before="332" w:after="166" w:line="240" w:lineRule="auto"/>
        <w:outlineLvl w:val="3"/>
        <w:rPr>
          <w:rFonts w:eastAsia="Times New Roman" w:cs="Arial"/>
          <w:b/>
          <w:bCs/>
          <w:color w:val="59331F"/>
          <w:sz w:val="20"/>
          <w:szCs w:val="20"/>
          <w:lang w:eastAsia="en-GB"/>
        </w:rPr>
      </w:pPr>
      <w:r w:rsidRPr="00FF0033">
        <w:rPr>
          <w:rFonts w:eastAsia="Times New Roman" w:cs="Arial"/>
          <w:b/>
          <w:bCs/>
          <w:color w:val="59331F"/>
          <w:sz w:val="20"/>
          <w:szCs w:val="20"/>
          <w:lang w:eastAsia="en-GB"/>
        </w:rPr>
        <w:t xml:space="preserve">BACKGROUND: </w:t>
      </w:r>
    </w:p>
    <w:p w:rsidR="00FF0033" w:rsidRPr="00FF0033" w:rsidRDefault="00FF0033" w:rsidP="00FF0033">
      <w:pPr>
        <w:shd w:val="clear" w:color="auto" w:fill="FFFFFF"/>
        <w:spacing w:before="332" w:after="166" w:line="240" w:lineRule="auto"/>
        <w:outlineLvl w:val="3"/>
        <w:rPr>
          <w:rFonts w:eastAsia="Times New Roman" w:cs="Arial"/>
          <w:b/>
          <w:bCs/>
          <w:color w:val="59331F"/>
          <w:sz w:val="20"/>
          <w:szCs w:val="20"/>
          <w:lang w:eastAsia="en-GB"/>
        </w:rPr>
      </w:pPr>
      <w:r>
        <w:rPr>
          <w:rFonts w:eastAsia="Times New Roman" w:cs="Arial"/>
          <w:sz w:val="20"/>
          <w:szCs w:val="20"/>
          <w:lang w:eastAsia="en-GB"/>
        </w:rPr>
        <w:t xml:space="preserve">As life expectancy rises and the proportion of elderly </w:t>
      </w:r>
      <w:proofErr w:type="gramStart"/>
      <w:r>
        <w:rPr>
          <w:rFonts w:eastAsia="Times New Roman" w:cs="Arial"/>
          <w:sz w:val="20"/>
          <w:szCs w:val="20"/>
          <w:lang w:eastAsia="en-GB"/>
        </w:rPr>
        <w:t>patients</w:t>
      </w:r>
      <w:proofErr w:type="gramEnd"/>
      <w:r>
        <w:rPr>
          <w:rFonts w:eastAsia="Times New Roman" w:cs="Arial"/>
          <w:sz w:val="20"/>
          <w:szCs w:val="20"/>
          <w:lang w:eastAsia="en-GB"/>
        </w:rPr>
        <w:t xml:space="preserve"> increases, the admission of elderly patients to intensive care needs careful consideration. There is very little information from UK studies on the outcomes of elderly admi</w:t>
      </w:r>
      <w:r w:rsidR="00A27662">
        <w:rPr>
          <w:rFonts w:eastAsia="Times New Roman" w:cs="Arial"/>
          <w:sz w:val="20"/>
          <w:szCs w:val="20"/>
          <w:lang w:eastAsia="en-GB"/>
        </w:rPr>
        <w:t>ssions to intensive care which c</w:t>
      </w:r>
      <w:r>
        <w:rPr>
          <w:rFonts w:eastAsia="Times New Roman" w:cs="Arial"/>
          <w:sz w:val="20"/>
          <w:szCs w:val="20"/>
          <w:lang w:eastAsia="en-GB"/>
        </w:rPr>
        <w:t xml:space="preserve">ould help inform </w:t>
      </w:r>
      <w:r w:rsidR="00457AE9">
        <w:rPr>
          <w:rFonts w:eastAsia="Times New Roman" w:cs="Arial"/>
          <w:sz w:val="20"/>
          <w:szCs w:val="20"/>
          <w:lang w:eastAsia="en-GB"/>
        </w:rPr>
        <w:t>clinicians</w:t>
      </w:r>
      <w:r>
        <w:rPr>
          <w:rFonts w:eastAsia="Times New Roman" w:cs="Arial"/>
          <w:sz w:val="20"/>
          <w:szCs w:val="20"/>
          <w:lang w:eastAsia="en-GB"/>
        </w:rPr>
        <w:t xml:space="preserve"> and patients regarding prognosis. The aim of this study was to analyse the clinical outcomes of elderly patients (</w:t>
      </w:r>
      <w:r w:rsidRPr="00FF0033">
        <w:rPr>
          <w:rFonts w:eastAsia="Times New Roman" w:cs="Arial"/>
          <w:sz w:val="20"/>
          <w:szCs w:val="20"/>
          <w:lang w:eastAsia="en-GB"/>
        </w:rPr>
        <w:t>≥</w:t>
      </w:r>
      <w:r>
        <w:rPr>
          <w:rFonts w:eastAsia="Times New Roman" w:cs="Arial"/>
          <w:sz w:val="20"/>
          <w:szCs w:val="20"/>
          <w:lang w:eastAsia="en-GB"/>
        </w:rPr>
        <w:t xml:space="preserve">70 and </w:t>
      </w:r>
      <w:r w:rsidRPr="00FF0033">
        <w:rPr>
          <w:rFonts w:eastAsia="Times New Roman" w:cs="Arial"/>
          <w:sz w:val="20"/>
          <w:szCs w:val="20"/>
          <w:lang w:eastAsia="en-GB"/>
        </w:rPr>
        <w:t>≥</w:t>
      </w:r>
      <w:r>
        <w:rPr>
          <w:rFonts w:eastAsia="Times New Roman" w:cs="Arial"/>
          <w:sz w:val="20"/>
          <w:szCs w:val="20"/>
          <w:lang w:eastAsia="en-GB"/>
        </w:rPr>
        <w:t>85 years) admitted to an intensive care unit in a district general hospital.</w:t>
      </w:r>
    </w:p>
    <w:p w:rsidR="00FF0033" w:rsidRPr="00FF0033" w:rsidRDefault="00FF0033" w:rsidP="00FF0033">
      <w:pPr>
        <w:shd w:val="clear" w:color="auto" w:fill="FFFFFF"/>
        <w:spacing w:before="332" w:after="166" w:line="240" w:lineRule="auto"/>
        <w:outlineLvl w:val="3"/>
        <w:rPr>
          <w:rFonts w:eastAsia="Times New Roman" w:cs="Arial"/>
          <w:b/>
          <w:bCs/>
          <w:color w:val="59331F"/>
          <w:sz w:val="20"/>
          <w:szCs w:val="20"/>
          <w:lang w:eastAsia="en-GB"/>
        </w:rPr>
      </w:pPr>
      <w:r w:rsidRPr="00FF0033">
        <w:rPr>
          <w:rFonts w:eastAsia="Times New Roman" w:cs="Arial"/>
          <w:b/>
          <w:bCs/>
          <w:color w:val="59331F"/>
          <w:sz w:val="20"/>
          <w:szCs w:val="20"/>
          <w:lang w:eastAsia="en-GB"/>
        </w:rPr>
        <w:t xml:space="preserve">METHODS: </w:t>
      </w:r>
    </w:p>
    <w:p w:rsidR="00FF0033" w:rsidRDefault="00FF0033" w:rsidP="00FF0033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 w:val="20"/>
          <w:szCs w:val="20"/>
          <w:lang w:eastAsia="en-GB"/>
        </w:rPr>
      </w:pPr>
      <w:r>
        <w:rPr>
          <w:rFonts w:eastAsia="Times New Roman" w:cs="Arial"/>
          <w:sz w:val="20"/>
          <w:szCs w:val="20"/>
          <w:lang w:eastAsia="en-GB"/>
        </w:rPr>
        <w:t xml:space="preserve">Monocentric, retrospective observational study of all patients aged </w:t>
      </w:r>
      <w:r w:rsidRPr="00FF0033">
        <w:rPr>
          <w:rFonts w:eastAsia="Times New Roman" w:cs="Arial"/>
          <w:sz w:val="20"/>
          <w:szCs w:val="20"/>
          <w:lang w:eastAsia="en-GB"/>
        </w:rPr>
        <w:t>≥</w:t>
      </w:r>
      <w:r>
        <w:rPr>
          <w:rFonts w:eastAsia="Times New Roman" w:cs="Arial"/>
          <w:sz w:val="20"/>
          <w:szCs w:val="20"/>
          <w:lang w:eastAsia="en-GB"/>
        </w:rPr>
        <w:t xml:space="preserve">70 years admitted to </w:t>
      </w:r>
      <w:r w:rsidR="00A27662">
        <w:rPr>
          <w:rFonts w:eastAsia="Times New Roman" w:cs="Arial"/>
          <w:sz w:val="20"/>
          <w:szCs w:val="20"/>
          <w:lang w:eastAsia="en-GB"/>
        </w:rPr>
        <w:t xml:space="preserve">the </w:t>
      </w:r>
      <w:r>
        <w:rPr>
          <w:rFonts w:eastAsia="Times New Roman" w:cs="Arial"/>
          <w:sz w:val="20"/>
          <w:szCs w:val="20"/>
          <w:lang w:eastAsia="en-GB"/>
        </w:rPr>
        <w:t xml:space="preserve">Intensive Therapy Unit with a capacity of </w:t>
      </w:r>
      <w:r w:rsidR="00A27662">
        <w:rPr>
          <w:rFonts w:eastAsia="Times New Roman" w:cs="Arial"/>
          <w:sz w:val="20"/>
          <w:szCs w:val="20"/>
          <w:lang w:eastAsia="en-GB"/>
        </w:rPr>
        <w:t>12</w:t>
      </w:r>
      <w:r w:rsidRPr="00A27662">
        <w:rPr>
          <w:rFonts w:eastAsia="Times New Roman" w:cs="Arial"/>
          <w:sz w:val="20"/>
          <w:szCs w:val="20"/>
          <w:lang w:eastAsia="en-GB"/>
        </w:rPr>
        <w:t xml:space="preserve"> </w:t>
      </w:r>
      <w:r>
        <w:rPr>
          <w:rFonts w:eastAsia="Times New Roman" w:cs="Arial"/>
          <w:sz w:val="20"/>
          <w:szCs w:val="20"/>
          <w:lang w:eastAsia="en-GB"/>
        </w:rPr>
        <w:t>beds at Kingston Hospital Foundation Trust in the United Kingdom between December 201</w:t>
      </w:r>
      <w:r w:rsidR="00E86FF8">
        <w:rPr>
          <w:rFonts w:eastAsia="Times New Roman" w:cs="Arial"/>
          <w:sz w:val="20"/>
          <w:szCs w:val="20"/>
          <w:lang w:eastAsia="en-GB"/>
        </w:rPr>
        <w:t>4</w:t>
      </w:r>
      <w:r>
        <w:rPr>
          <w:rFonts w:eastAsia="Times New Roman" w:cs="Arial"/>
          <w:sz w:val="20"/>
          <w:szCs w:val="20"/>
          <w:lang w:eastAsia="en-GB"/>
        </w:rPr>
        <w:t xml:space="preserve"> and </w:t>
      </w:r>
      <w:r w:rsidR="00E86FF8">
        <w:rPr>
          <w:rFonts w:eastAsia="Times New Roman" w:cs="Arial"/>
          <w:sz w:val="20"/>
          <w:szCs w:val="20"/>
          <w:lang w:eastAsia="en-GB"/>
        </w:rPr>
        <w:t>April</w:t>
      </w:r>
      <w:r>
        <w:rPr>
          <w:rFonts w:eastAsia="Times New Roman" w:cs="Arial"/>
          <w:sz w:val="20"/>
          <w:szCs w:val="20"/>
          <w:lang w:eastAsia="en-GB"/>
        </w:rPr>
        <w:t xml:space="preserve"> 201</w:t>
      </w:r>
      <w:r w:rsidR="00E86FF8">
        <w:rPr>
          <w:rFonts w:eastAsia="Times New Roman" w:cs="Arial"/>
          <w:sz w:val="20"/>
          <w:szCs w:val="20"/>
          <w:lang w:eastAsia="en-GB"/>
        </w:rPr>
        <w:t>5</w:t>
      </w:r>
      <w:r>
        <w:rPr>
          <w:rFonts w:eastAsia="Times New Roman" w:cs="Arial"/>
          <w:sz w:val="20"/>
          <w:szCs w:val="20"/>
          <w:lang w:eastAsia="en-GB"/>
        </w:rPr>
        <w:t>. Mortality was measured at discharge from ITU, discharge from hospital and at 30</w:t>
      </w:r>
      <w:r w:rsidR="00A27662">
        <w:rPr>
          <w:rFonts w:eastAsia="Times New Roman" w:cs="Arial"/>
          <w:sz w:val="20"/>
          <w:szCs w:val="20"/>
          <w:lang w:eastAsia="en-GB"/>
        </w:rPr>
        <w:t xml:space="preserve"> </w:t>
      </w:r>
      <w:r>
        <w:rPr>
          <w:rFonts w:eastAsia="Times New Roman" w:cs="Arial"/>
          <w:sz w:val="20"/>
          <w:szCs w:val="20"/>
          <w:lang w:eastAsia="en-GB"/>
        </w:rPr>
        <w:t xml:space="preserve">days, 6 months, </w:t>
      </w:r>
      <w:r w:rsidR="002B2136">
        <w:rPr>
          <w:rFonts w:eastAsia="Times New Roman" w:cs="Arial"/>
          <w:sz w:val="20"/>
          <w:szCs w:val="20"/>
          <w:lang w:eastAsia="en-GB"/>
        </w:rPr>
        <w:t xml:space="preserve">and </w:t>
      </w:r>
      <w:r>
        <w:rPr>
          <w:rFonts w:eastAsia="Times New Roman" w:cs="Arial"/>
          <w:sz w:val="20"/>
          <w:szCs w:val="20"/>
          <w:lang w:eastAsia="en-GB"/>
        </w:rPr>
        <w:t>12</w:t>
      </w:r>
      <w:r w:rsidR="00A27662">
        <w:rPr>
          <w:rFonts w:eastAsia="Times New Roman" w:cs="Arial"/>
          <w:sz w:val="20"/>
          <w:szCs w:val="20"/>
          <w:lang w:eastAsia="en-GB"/>
        </w:rPr>
        <w:t xml:space="preserve"> </w:t>
      </w:r>
      <w:r>
        <w:rPr>
          <w:rFonts w:eastAsia="Times New Roman" w:cs="Arial"/>
          <w:sz w:val="20"/>
          <w:szCs w:val="20"/>
          <w:lang w:eastAsia="en-GB"/>
        </w:rPr>
        <w:t>months post admission</w:t>
      </w:r>
      <w:r w:rsidR="002B2136">
        <w:rPr>
          <w:rFonts w:eastAsia="Times New Roman" w:cs="Arial"/>
          <w:sz w:val="20"/>
          <w:szCs w:val="20"/>
          <w:lang w:eastAsia="en-GB"/>
        </w:rPr>
        <w:t xml:space="preserve"> date</w:t>
      </w:r>
      <w:r w:rsidR="00457AE9">
        <w:rPr>
          <w:rFonts w:eastAsia="Times New Roman" w:cs="Arial"/>
          <w:sz w:val="20"/>
          <w:szCs w:val="20"/>
          <w:lang w:eastAsia="en-GB"/>
        </w:rPr>
        <w:t>.</w:t>
      </w:r>
    </w:p>
    <w:p w:rsidR="00FF0033" w:rsidRPr="00FF0033" w:rsidRDefault="00FF0033" w:rsidP="00FF0033">
      <w:pPr>
        <w:shd w:val="clear" w:color="auto" w:fill="FFFFFF"/>
        <w:spacing w:before="332" w:after="166" w:line="240" w:lineRule="auto"/>
        <w:outlineLvl w:val="3"/>
        <w:rPr>
          <w:rFonts w:eastAsia="Times New Roman" w:cs="Arial"/>
          <w:b/>
          <w:bCs/>
          <w:color w:val="59331F"/>
          <w:sz w:val="20"/>
          <w:szCs w:val="20"/>
          <w:lang w:eastAsia="en-GB"/>
        </w:rPr>
      </w:pPr>
      <w:r w:rsidRPr="00FF0033">
        <w:rPr>
          <w:rFonts w:eastAsia="Times New Roman" w:cs="Arial"/>
          <w:b/>
          <w:bCs/>
          <w:color w:val="59331F"/>
          <w:sz w:val="20"/>
          <w:szCs w:val="20"/>
          <w:lang w:eastAsia="en-GB"/>
        </w:rPr>
        <w:t xml:space="preserve">RESULTS: </w:t>
      </w:r>
    </w:p>
    <w:p w:rsidR="00521196" w:rsidRDefault="00521196" w:rsidP="00521196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 w:val="20"/>
          <w:szCs w:val="20"/>
          <w:lang w:eastAsia="en-GB"/>
        </w:rPr>
      </w:pPr>
      <w:r w:rsidRPr="00FF0033">
        <w:rPr>
          <w:rFonts w:eastAsia="Times New Roman" w:cs="Arial"/>
          <w:sz w:val="20"/>
          <w:szCs w:val="20"/>
          <w:lang w:eastAsia="en-GB"/>
        </w:rPr>
        <w:t xml:space="preserve">A total of </w:t>
      </w:r>
      <w:r>
        <w:rPr>
          <w:rFonts w:eastAsia="Times New Roman" w:cs="Arial"/>
          <w:sz w:val="20"/>
          <w:szCs w:val="20"/>
          <w:lang w:eastAsia="en-GB"/>
        </w:rPr>
        <w:t>140</w:t>
      </w:r>
      <w:r w:rsidRPr="00FF0033">
        <w:rPr>
          <w:rFonts w:eastAsia="Times New Roman" w:cs="Arial"/>
          <w:sz w:val="20"/>
          <w:szCs w:val="20"/>
          <w:lang w:eastAsia="en-GB"/>
        </w:rPr>
        <w:t xml:space="preserve"> patients </w:t>
      </w:r>
      <w:r>
        <w:rPr>
          <w:rFonts w:eastAsia="Times New Roman" w:cs="Arial"/>
          <w:sz w:val="20"/>
          <w:szCs w:val="20"/>
          <w:lang w:eastAsia="en-GB"/>
        </w:rPr>
        <w:t>≥7</w:t>
      </w:r>
      <w:r w:rsidRPr="00FF0033">
        <w:rPr>
          <w:rFonts w:eastAsia="Times New Roman" w:cs="Arial"/>
          <w:sz w:val="20"/>
          <w:szCs w:val="20"/>
          <w:lang w:eastAsia="en-GB"/>
        </w:rPr>
        <w:t xml:space="preserve">0 years of age were admitted to the </w:t>
      </w:r>
      <w:r>
        <w:rPr>
          <w:rFonts w:eastAsia="Times New Roman" w:cs="Arial"/>
          <w:sz w:val="20"/>
          <w:szCs w:val="20"/>
          <w:lang w:eastAsia="en-GB"/>
        </w:rPr>
        <w:t>intensive therapy unit (ITU</w:t>
      </w:r>
      <w:r w:rsidR="00A27662">
        <w:rPr>
          <w:rFonts w:eastAsia="Times New Roman" w:cs="Arial"/>
          <w:sz w:val="20"/>
          <w:szCs w:val="20"/>
          <w:lang w:eastAsia="en-GB"/>
        </w:rPr>
        <w:t>), 65 medical and 75 surgical. Overall s</w:t>
      </w:r>
      <w:r>
        <w:rPr>
          <w:rFonts w:eastAsia="Times New Roman" w:cs="Arial"/>
          <w:sz w:val="20"/>
          <w:szCs w:val="20"/>
          <w:lang w:eastAsia="en-GB"/>
        </w:rPr>
        <w:t xml:space="preserve">urvival </w:t>
      </w:r>
      <w:r w:rsidR="001958DD">
        <w:rPr>
          <w:rFonts w:eastAsia="Times New Roman" w:cs="Arial"/>
          <w:sz w:val="20"/>
          <w:szCs w:val="20"/>
          <w:lang w:eastAsia="en-GB"/>
        </w:rPr>
        <w:t xml:space="preserve">at </w:t>
      </w:r>
      <w:r w:rsidR="00E86FF8">
        <w:rPr>
          <w:rFonts w:eastAsia="Times New Roman" w:cs="Arial"/>
          <w:sz w:val="20"/>
          <w:szCs w:val="20"/>
          <w:lang w:eastAsia="en-GB"/>
        </w:rPr>
        <w:t xml:space="preserve">discharge from ITU and discharge from hospital were </w:t>
      </w:r>
      <w:r w:rsidR="0012665B">
        <w:rPr>
          <w:rFonts w:eastAsia="Times New Roman" w:cs="Arial"/>
          <w:sz w:val="20"/>
          <w:szCs w:val="20"/>
          <w:lang w:eastAsia="en-GB"/>
        </w:rPr>
        <w:t>75.7%</w:t>
      </w:r>
      <w:r w:rsidR="00E86FF8">
        <w:rPr>
          <w:rFonts w:eastAsia="Times New Roman" w:cs="Arial"/>
          <w:sz w:val="20"/>
          <w:szCs w:val="20"/>
          <w:lang w:eastAsia="en-GB"/>
        </w:rPr>
        <w:t xml:space="preserve"> and </w:t>
      </w:r>
      <w:r w:rsidR="0012665B">
        <w:rPr>
          <w:rFonts w:eastAsia="Times New Roman" w:cs="Arial"/>
          <w:sz w:val="20"/>
          <w:szCs w:val="20"/>
          <w:lang w:eastAsia="en-GB"/>
        </w:rPr>
        <w:t xml:space="preserve">68.6% </w:t>
      </w:r>
      <w:r w:rsidR="00E86FF8">
        <w:rPr>
          <w:rFonts w:eastAsia="Times New Roman" w:cs="Arial"/>
          <w:sz w:val="20"/>
          <w:szCs w:val="20"/>
          <w:lang w:eastAsia="en-GB"/>
        </w:rPr>
        <w:t xml:space="preserve">respectively. Survival after discharge was </w:t>
      </w:r>
      <w:r w:rsidR="0012665B">
        <w:rPr>
          <w:rFonts w:eastAsia="Times New Roman" w:cs="Arial"/>
          <w:sz w:val="20"/>
          <w:szCs w:val="20"/>
          <w:lang w:eastAsia="en-GB"/>
        </w:rPr>
        <w:t>55%</w:t>
      </w:r>
      <w:r w:rsidR="00E86FF8">
        <w:rPr>
          <w:rFonts w:eastAsia="Times New Roman" w:cs="Arial"/>
          <w:sz w:val="20"/>
          <w:szCs w:val="20"/>
          <w:lang w:eastAsia="en-GB"/>
        </w:rPr>
        <w:t xml:space="preserve"> at 12 months. In the cohort of </w:t>
      </w:r>
      <w:proofErr w:type="gramStart"/>
      <w:r w:rsidR="00E86FF8">
        <w:rPr>
          <w:rFonts w:eastAsia="Times New Roman" w:cs="Arial"/>
          <w:sz w:val="20"/>
          <w:szCs w:val="20"/>
          <w:lang w:eastAsia="en-GB"/>
        </w:rPr>
        <w:t>patients</w:t>
      </w:r>
      <w:proofErr w:type="gramEnd"/>
      <w:r w:rsidR="00E86FF8">
        <w:rPr>
          <w:rFonts w:eastAsia="Times New Roman" w:cs="Arial"/>
          <w:sz w:val="20"/>
          <w:szCs w:val="20"/>
          <w:lang w:eastAsia="en-GB"/>
        </w:rPr>
        <w:t xml:space="preserve"> </w:t>
      </w:r>
      <w:r w:rsidR="00E86FF8" w:rsidRPr="00FF0033">
        <w:rPr>
          <w:rFonts w:eastAsia="Times New Roman" w:cs="Arial"/>
          <w:sz w:val="20"/>
          <w:szCs w:val="20"/>
          <w:lang w:eastAsia="en-GB"/>
        </w:rPr>
        <w:t>≥</w:t>
      </w:r>
      <w:r w:rsidR="00E86FF8">
        <w:rPr>
          <w:rFonts w:eastAsia="Times New Roman" w:cs="Arial"/>
          <w:sz w:val="20"/>
          <w:szCs w:val="20"/>
          <w:lang w:eastAsia="en-GB"/>
        </w:rPr>
        <w:t>85 years, survival at discharge (</w:t>
      </w:r>
      <w:r w:rsidR="0012665B">
        <w:rPr>
          <w:rFonts w:eastAsia="Times New Roman" w:cs="Arial"/>
          <w:sz w:val="20"/>
          <w:szCs w:val="20"/>
          <w:lang w:eastAsia="en-GB"/>
        </w:rPr>
        <w:t>69.4%</w:t>
      </w:r>
      <w:r w:rsidR="00E86FF8">
        <w:rPr>
          <w:rFonts w:eastAsia="Times New Roman" w:cs="Arial"/>
          <w:sz w:val="20"/>
          <w:szCs w:val="20"/>
          <w:lang w:eastAsia="en-GB"/>
        </w:rPr>
        <w:t xml:space="preserve">) was </w:t>
      </w:r>
      <w:r w:rsidR="0012665B">
        <w:rPr>
          <w:rFonts w:eastAsia="Times New Roman" w:cs="Arial"/>
          <w:sz w:val="20"/>
          <w:szCs w:val="20"/>
          <w:lang w:eastAsia="en-GB"/>
        </w:rPr>
        <w:t>lower</w:t>
      </w:r>
      <w:r w:rsidR="00E86FF8">
        <w:rPr>
          <w:rFonts w:eastAsia="Times New Roman" w:cs="Arial"/>
          <w:sz w:val="20"/>
          <w:szCs w:val="20"/>
          <w:lang w:eastAsia="en-GB"/>
        </w:rPr>
        <w:t xml:space="preserve"> than that of the 70-84 years bracket (</w:t>
      </w:r>
      <w:r w:rsidR="0012665B">
        <w:rPr>
          <w:rFonts w:eastAsia="Times New Roman" w:cs="Arial"/>
          <w:sz w:val="20"/>
          <w:szCs w:val="20"/>
          <w:lang w:eastAsia="en-GB"/>
        </w:rPr>
        <w:t>78.4%</w:t>
      </w:r>
      <w:r w:rsidR="00E86FF8">
        <w:rPr>
          <w:rFonts w:eastAsia="Times New Roman" w:cs="Arial"/>
          <w:sz w:val="20"/>
          <w:szCs w:val="20"/>
          <w:lang w:eastAsia="en-GB"/>
        </w:rPr>
        <w:t>)</w:t>
      </w:r>
      <w:r w:rsidR="0012665B">
        <w:rPr>
          <w:rFonts w:eastAsia="Times New Roman" w:cs="Arial"/>
          <w:sz w:val="20"/>
          <w:szCs w:val="20"/>
          <w:lang w:eastAsia="en-GB"/>
        </w:rPr>
        <w:t xml:space="preserve">, however survival at 12 months was greater in this </w:t>
      </w:r>
      <w:r w:rsidR="00457AE9">
        <w:rPr>
          <w:rFonts w:eastAsia="Times New Roman" w:cs="Arial"/>
          <w:sz w:val="20"/>
          <w:szCs w:val="20"/>
          <w:lang w:eastAsia="en-GB"/>
        </w:rPr>
        <w:t xml:space="preserve">older </w:t>
      </w:r>
      <w:r w:rsidR="0012665B">
        <w:rPr>
          <w:rFonts w:eastAsia="Times New Roman" w:cs="Arial"/>
          <w:sz w:val="20"/>
          <w:szCs w:val="20"/>
          <w:lang w:eastAsia="en-GB"/>
        </w:rPr>
        <w:t>cohort</w:t>
      </w:r>
      <w:r w:rsidR="00E86FF8">
        <w:rPr>
          <w:rFonts w:eastAsia="Times New Roman" w:cs="Arial"/>
          <w:sz w:val="20"/>
          <w:szCs w:val="20"/>
          <w:lang w:eastAsia="en-GB"/>
        </w:rPr>
        <w:t xml:space="preserve">. Surgical patients showed consistently better survival rates at all time points. </w:t>
      </w:r>
    </w:p>
    <w:p w:rsidR="00FF0033" w:rsidRDefault="00FF0033" w:rsidP="00FF0033">
      <w:pPr>
        <w:shd w:val="clear" w:color="auto" w:fill="FFFFFF"/>
        <w:spacing w:before="332" w:after="166" w:line="240" w:lineRule="auto"/>
        <w:outlineLvl w:val="3"/>
        <w:rPr>
          <w:rFonts w:eastAsia="Times New Roman" w:cs="Arial"/>
          <w:b/>
          <w:bCs/>
          <w:color w:val="59331F"/>
          <w:sz w:val="20"/>
          <w:szCs w:val="20"/>
          <w:lang w:eastAsia="en-GB"/>
        </w:rPr>
      </w:pPr>
      <w:r w:rsidRPr="00FF0033">
        <w:rPr>
          <w:rFonts w:eastAsia="Times New Roman" w:cs="Arial"/>
          <w:b/>
          <w:bCs/>
          <w:color w:val="59331F"/>
          <w:sz w:val="20"/>
          <w:szCs w:val="20"/>
          <w:lang w:eastAsia="en-GB"/>
        </w:rPr>
        <w:t xml:space="preserve">CONCLUSION: </w:t>
      </w:r>
    </w:p>
    <w:p w:rsidR="00233A3E" w:rsidRPr="002C537A" w:rsidRDefault="00457AE9" w:rsidP="002C537A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sz w:val="20"/>
          <w:szCs w:val="20"/>
          <w:lang w:eastAsia="en-GB"/>
        </w:rPr>
      </w:pPr>
      <w:r>
        <w:rPr>
          <w:rFonts w:eastAsia="Times New Roman" w:cs="Arial"/>
          <w:sz w:val="20"/>
          <w:szCs w:val="20"/>
          <w:lang w:eastAsia="en-GB"/>
        </w:rPr>
        <w:t>Almost 70% of ITU admissions aged</w:t>
      </w:r>
      <w:r w:rsidR="0012665B" w:rsidRPr="0012665B">
        <w:rPr>
          <w:rFonts w:eastAsia="Times New Roman" w:cs="Arial"/>
          <w:sz w:val="20"/>
          <w:szCs w:val="20"/>
          <w:lang w:eastAsia="en-GB"/>
        </w:rPr>
        <w:t xml:space="preserve"> </w:t>
      </w:r>
      <w:r w:rsidRPr="00FF0033">
        <w:rPr>
          <w:rFonts w:eastAsia="Times New Roman" w:cs="Arial"/>
          <w:sz w:val="20"/>
          <w:szCs w:val="20"/>
          <w:lang w:eastAsia="en-GB"/>
        </w:rPr>
        <w:t>≥</w:t>
      </w:r>
      <w:r>
        <w:rPr>
          <w:rFonts w:eastAsia="Times New Roman" w:cs="Arial"/>
          <w:sz w:val="20"/>
          <w:szCs w:val="20"/>
          <w:lang w:eastAsia="en-GB"/>
        </w:rPr>
        <w:t xml:space="preserve"> 70 years were discharged alive from hospital. A similar survival rate was also seen in the cohort of patients aged </w:t>
      </w:r>
      <w:r w:rsidRPr="00FF0033">
        <w:rPr>
          <w:rFonts w:eastAsia="Times New Roman" w:cs="Arial"/>
          <w:sz w:val="20"/>
          <w:szCs w:val="20"/>
          <w:lang w:eastAsia="en-GB"/>
        </w:rPr>
        <w:t>≥</w:t>
      </w:r>
      <w:r>
        <w:rPr>
          <w:rFonts w:eastAsia="Times New Roman" w:cs="Arial"/>
          <w:sz w:val="20"/>
          <w:szCs w:val="20"/>
          <w:lang w:eastAsia="en-GB"/>
        </w:rPr>
        <w:t xml:space="preserve"> 85 years; surprisingly, however, this older cohort had a better survival rate 1 year post admission. In </w:t>
      </w:r>
      <w:r w:rsidR="0012665B" w:rsidRPr="0012665B">
        <w:rPr>
          <w:rFonts w:eastAsia="Times New Roman" w:cs="Arial"/>
          <w:sz w:val="20"/>
          <w:szCs w:val="20"/>
          <w:lang w:eastAsia="en-GB"/>
        </w:rPr>
        <w:t xml:space="preserve">comparison </w:t>
      </w:r>
      <w:r>
        <w:rPr>
          <w:rFonts w:eastAsia="Times New Roman" w:cs="Arial"/>
          <w:sz w:val="20"/>
          <w:szCs w:val="20"/>
          <w:lang w:eastAsia="en-GB"/>
        </w:rPr>
        <w:t>with older UK studies,</w:t>
      </w:r>
      <w:r w:rsidR="0012665B" w:rsidRPr="0012665B">
        <w:rPr>
          <w:rFonts w:eastAsia="Times New Roman" w:cs="Arial"/>
          <w:sz w:val="20"/>
          <w:szCs w:val="20"/>
          <w:lang w:eastAsia="en-GB"/>
        </w:rPr>
        <w:t xml:space="preserve"> there has been little change in outco</w:t>
      </w:r>
      <w:r>
        <w:rPr>
          <w:rFonts w:eastAsia="Times New Roman" w:cs="Arial"/>
          <w:sz w:val="20"/>
          <w:szCs w:val="20"/>
          <w:lang w:eastAsia="en-GB"/>
        </w:rPr>
        <w:t>me of ITU patients over 70 in almost 20</w:t>
      </w:r>
      <w:r w:rsidR="0012665B" w:rsidRPr="0012665B">
        <w:rPr>
          <w:rFonts w:eastAsia="Times New Roman" w:cs="Arial"/>
          <w:sz w:val="20"/>
          <w:szCs w:val="20"/>
          <w:lang w:eastAsia="en-GB"/>
        </w:rPr>
        <w:t xml:space="preserve"> years. This is despite the increasing number of elderly ITU admissions, which may reflect improved management of elderly patients in critical care. </w:t>
      </w:r>
      <w:r>
        <w:rPr>
          <w:rFonts w:eastAsia="Times New Roman" w:cs="Arial"/>
          <w:sz w:val="20"/>
          <w:szCs w:val="20"/>
          <w:lang w:eastAsia="en-GB"/>
        </w:rPr>
        <w:t xml:space="preserve">These figures may help to inform future decisions regarding admission of older patients to ITU, but further studies are required to identify other </w:t>
      </w:r>
      <w:r w:rsidR="00A27662">
        <w:rPr>
          <w:rFonts w:eastAsia="Times New Roman" w:cs="Arial"/>
          <w:sz w:val="20"/>
          <w:szCs w:val="20"/>
          <w:lang w:eastAsia="en-GB"/>
        </w:rPr>
        <w:t xml:space="preserve">physiological and functional </w:t>
      </w:r>
      <w:r>
        <w:rPr>
          <w:rFonts w:eastAsia="Times New Roman" w:cs="Arial"/>
          <w:sz w:val="20"/>
          <w:szCs w:val="20"/>
          <w:lang w:eastAsia="en-GB"/>
        </w:rPr>
        <w:t>characteristics in this age group that may influence survival rate.</w:t>
      </w:r>
      <w:bookmarkStart w:id="0" w:name="_GoBack"/>
      <w:bookmarkEnd w:id="0"/>
    </w:p>
    <w:sectPr w:rsidR="00233A3E" w:rsidRPr="002C53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033"/>
    <w:rsid w:val="001132FF"/>
    <w:rsid w:val="0012665B"/>
    <w:rsid w:val="00193899"/>
    <w:rsid w:val="001958DD"/>
    <w:rsid w:val="00233A3E"/>
    <w:rsid w:val="002B2136"/>
    <w:rsid w:val="002C537A"/>
    <w:rsid w:val="00457AE9"/>
    <w:rsid w:val="00521196"/>
    <w:rsid w:val="009310F1"/>
    <w:rsid w:val="00A27662"/>
    <w:rsid w:val="00E86FF8"/>
    <w:rsid w:val="00FF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F0033"/>
    <w:pPr>
      <w:spacing w:before="332" w:after="166" w:line="240" w:lineRule="auto"/>
      <w:outlineLvl w:val="3"/>
    </w:pPr>
    <w:rPr>
      <w:rFonts w:ascii="Times New Roman" w:eastAsia="Times New Roman" w:hAnsi="Times New Roman" w:cs="Times New Roman"/>
      <w:b/>
      <w:bCs/>
      <w:color w:val="59331F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F0033"/>
    <w:rPr>
      <w:rFonts w:ascii="Times New Roman" w:eastAsia="Times New Roman" w:hAnsi="Times New Roman" w:cs="Times New Roman"/>
      <w:b/>
      <w:bCs/>
      <w:color w:val="59331F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F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F0033"/>
    <w:pPr>
      <w:spacing w:before="332" w:after="166" w:line="240" w:lineRule="auto"/>
      <w:outlineLvl w:val="3"/>
    </w:pPr>
    <w:rPr>
      <w:rFonts w:ascii="Times New Roman" w:eastAsia="Times New Roman" w:hAnsi="Times New Roman" w:cs="Times New Roman"/>
      <w:b/>
      <w:bCs/>
      <w:color w:val="59331F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F0033"/>
    <w:rPr>
      <w:rFonts w:ascii="Times New Roman" w:eastAsia="Times New Roman" w:hAnsi="Times New Roman" w:cs="Times New Roman"/>
      <w:b/>
      <w:bCs/>
      <w:color w:val="59331F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F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016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556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3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44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1182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0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326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SWLSTG NHS Trust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Kane, Robert</dc:creator>
  <cp:lastModifiedBy>hamatthe</cp:lastModifiedBy>
  <cp:revision>3</cp:revision>
  <dcterms:created xsi:type="dcterms:W3CDTF">2016-06-09T14:30:00Z</dcterms:created>
  <dcterms:modified xsi:type="dcterms:W3CDTF">2016-06-09T14:30:00Z</dcterms:modified>
</cp:coreProperties>
</file>