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F93" w:rsidRDefault="00A62F93" w:rsidP="00A62F93">
      <w:pPr>
        <w:spacing w:after="60" w:line="240" w:lineRule="auto"/>
        <w:outlineLvl w:val="0"/>
        <w:rPr>
          <w:rFonts w:ascii="Arial" w:eastAsia="Times New Roman" w:hAnsi="Arial" w:cs="Arial"/>
          <w:b/>
          <w:bCs/>
          <w:color w:val="000000"/>
          <w:kern w:val="36"/>
          <w:sz w:val="48"/>
          <w:szCs w:val="48"/>
        </w:rPr>
      </w:pPr>
      <w:r>
        <w:t xml:space="preserve">Find Teaching here: </w:t>
      </w:r>
      <w:bookmarkStart w:id="0" w:name="_GoBack"/>
      <w:bookmarkEnd w:id="0"/>
      <w:r>
        <w:fldChar w:fldCharType="begin"/>
      </w:r>
      <w:r>
        <w:instrText xml:space="preserve"> HYPERLINK "https://journals.lww.com/prsgo/Fulltext/2016/07000/An_Alternative_Technique_for_Immediate.5.aspx" </w:instrText>
      </w:r>
      <w:r>
        <w:fldChar w:fldCharType="separate"/>
      </w:r>
      <w:r>
        <w:rPr>
          <w:rStyle w:val="Hyperlink"/>
        </w:rPr>
        <w:t>https://journals.lww.com/prsgo/Fulltext/2016/07000/An_Alternative_Technique_for_Immediate.5.aspx</w:t>
      </w:r>
      <w:r>
        <w:fldChar w:fldCharType="end"/>
      </w:r>
    </w:p>
    <w:p w:rsidR="00A62F93" w:rsidRPr="00A62F93" w:rsidRDefault="00A62F93" w:rsidP="00A62F93">
      <w:pPr>
        <w:spacing w:after="60" w:line="240" w:lineRule="auto"/>
        <w:outlineLvl w:val="0"/>
        <w:rPr>
          <w:rFonts w:ascii="Arial" w:eastAsia="Times New Roman" w:hAnsi="Arial" w:cs="Arial"/>
          <w:b/>
          <w:bCs/>
          <w:color w:val="000000"/>
          <w:kern w:val="36"/>
          <w:sz w:val="48"/>
          <w:szCs w:val="48"/>
        </w:rPr>
      </w:pPr>
      <w:r w:rsidRPr="00A62F93">
        <w:rPr>
          <w:rFonts w:ascii="Arial" w:eastAsia="Times New Roman" w:hAnsi="Arial" w:cs="Arial"/>
          <w:b/>
          <w:bCs/>
          <w:color w:val="000000"/>
          <w:kern w:val="36"/>
          <w:sz w:val="48"/>
          <w:szCs w:val="48"/>
        </w:rPr>
        <w:t>An Alternative Technique for Immediate Direct-to-Implant Breast Reconstruction—A Case Series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Downs, Ronald K. MD, FACS; Hedges, Kellee FNP-BC</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Plastic and Reconstructive Surgery – Global Open: </w:t>
      </w:r>
      <w:hyperlink r:id="rId7" w:history="1">
        <w:r w:rsidRPr="00A62F93">
          <w:rPr>
            <w:rFonts w:ascii="Times New Roman" w:eastAsia="Times New Roman" w:hAnsi="Times New Roman" w:cs="Times New Roman"/>
            <w:color w:val="867C9C"/>
            <w:sz w:val="24"/>
            <w:szCs w:val="24"/>
            <w:u w:val="single"/>
          </w:rPr>
          <w:t>July 2016 - Volume 4 - Issue 7 - p e821</w:t>
        </w:r>
      </w:hyperlink>
    </w:p>
    <w:p w:rsidR="00A62F93" w:rsidRPr="00A62F93" w:rsidRDefault="00A62F93" w:rsidP="00A62F93">
      <w:pPr>
        <w:spacing w:after="0" w:line="240" w:lineRule="auto"/>
        <w:rPr>
          <w:rFonts w:ascii="Times New Roman" w:eastAsia="Times New Roman" w:hAnsi="Times New Roman" w:cs="Times New Roman"/>
          <w:sz w:val="24"/>
          <w:szCs w:val="24"/>
        </w:rPr>
      </w:pPr>
      <w:proofErr w:type="spellStart"/>
      <w:r w:rsidRPr="00A62F93">
        <w:rPr>
          <w:rFonts w:ascii="Times New Roman" w:eastAsia="Times New Roman" w:hAnsi="Times New Roman" w:cs="Times New Roman"/>
          <w:sz w:val="24"/>
          <w:szCs w:val="24"/>
        </w:rPr>
        <w:t>doi</w:t>
      </w:r>
      <w:proofErr w:type="spellEnd"/>
      <w:r w:rsidRPr="00A62F93">
        <w:rPr>
          <w:rFonts w:ascii="Times New Roman" w:eastAsia="Times New Roman" w:hAnsi="Times New Roman" w:cs="Times New Roman"/>
          <w:sz w:val="24"/>
          <w:szCs w:val="24"/>
        </w:rPr>
        <w:t>: 10.1097/GOX.0000000000000839</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Original Article</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b/>
          <w:bCs/>
          <w:caps/>
          <w:color w:val="101010"/>
          <w:sz w:val="24"/>
          <w:szCs w:val="24"/>
          <w:shd w:val="clear" w:color="auto" w:fill="FFD200"/>
        </w:rPr>
        <w:t>OPEN</w:t>
      </w:r>
    </w:p>
    <w:p w:rsidR="00A62F93" w:rsidRPr="00A62F93" w:rsidRDefault="00A62F93" w:rsidP="00A62F93">
      <w:pPr>
        <w:spacing w:after="0" w:line="240" w:lineRule="auto"/>
        <w:rPr>
          <w:rFonts w:ascii="Times New Roman" w:eastAsia="Times New Roman" w:hAnsi="Times New Roman" w:cs="Times New Roman"/>
          <w:sz w:val="24"/>
          <w:szCs w:val="24"/>
        </w:rPr>
      </w:pPr>
      <w:hyperlink r:id="rId8" w:anchor="ej-article-sam-container" w:history="1">
        <w:r w:rsidRPr="00A62F93">
          <w:rPr>
            <w:rFonts w:ascii="Times New Roman" w:eastAsia="Times New Roman" w:hAnsi="Times New Roman" w:cs="Times New Roman"/>
            <w:b/>
            <w:bCs/>
            <w:caps/>
            <w:color w:val="FFFFFF"/>
            <w:sz w:val="24"/>
            <w:szCs w:val="24"/>
            <w:shd w:val="clear" w:color="auto" w:fill="3B7573"/>
          </w:rPr>
          <w:t>SDC</w:t>
        </w:r>
      </w:hyperlink>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noProof/>
          <w:sz w:val="24"/>
          <w:szCs w:val="24"/>
        </w:rPr>
        <w:drawing>
          <wp:inline distT="0" distB="0" distL="0" distR="0" wp14:anchorId="68D81EE5" wp14:editId="344CBDA5">
            <wp:extent cx="323850" cy="133350"/>
            <wp:effectExtent l="0" t="0" r="0" b="0"/>
            <wp:docPr id="11" name="Picture 1" descr="https://journals.lww.com/prsgo/PublishingImages/CCIs/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ournals.lww.com/prsgo/PublishingImages/CCIs/us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133350"/>
                    </a:xfrm>
                    <a:prstGeom prst="rect">
                      <a:avLst/>
                    </a:prstGeom>
                    <a:noFill/>
                    <a:ln>
                      <a:noFill/>
                    </a:ln>
                  </pic:spPr>
                </pic:pic>
              </a:graphicData>
            </a:graphic>
          </wp:inline>
        </w:drawing>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noProof/>
          <w:color w:val="867C9C"/>
          <w:sz w:val="24"/>
          <w:szCs w:val="24"/>
        </w:rPr>
        <w:drawing>
          <wp:inline distT="0" distB="0" distL="0" distR="0" wp14:anchorId="462634FF" wp14:editId="33138E7E">
            <wp:extent cx="923925" cy="142875"/>
            <wp:effectExtent l="0" t="0" r="9525" b="9525"/>
            <wp:docPr id="10" name="Picture 2" descr="https://journals.lww.com/prsgo/PublishingImages/watch%20video.jp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journals.lww.com/prsgo/PublishingImages/watch%20video.jpg">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142875"/>
                    </a:xfrm>
                    <a:prstGeom prst="rect">
                      <a:avLst/>
                    </a:prstGeom>
                    <a:noFill/>
                    <a:ln>
                      <a:noFill/>
                    </a:ln>
                  </pic:spPr>
                </pic:pic>
              </a:graphicData>
            </a:graphic>
          </wp:inline>
        </w:drawing>
      </w:r>
    </w:p>
    <w:p w:rsidR="00A62F93" w:rsidRPr="00A62F93" w:rsidRDefault="00A62F93" w:rsidP="00A62F93">
      <w:pPr>
        <w:shd w:val="clear" w:color="auto" w:fill="F1F1F1"/>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b/>
          <w:bCs/>
          <w:color w:val="333333"/>
          <w:sz w:val="24"/>
          <w:szCs w:val="24"/>
        </w:rPr>
        <w:t>Background: </w:t>
      </w:r>
      <w:r w:rsidRPr="00A62F93">
        <w:rPr>
          <w:rFonts w:ascii="Times New Roman" w:eastAsia="Times New Roman" w:hAnsi="Times New Roman" w:cs="Times New Roman"/>
          <w:color w:val="333333"/>
          <w:sz w:val="24"/>
          <w:szCs w:val="24"/>
        </w:rPr>
        <w:t>The practice of breast reconstruction continues to evolve with the introduction of new technologies. The authors describe a unique approach allowing immediate direct-to-implant reconstruction that can be performed on an outpatient basis.</w:t>
      </w:r>
    </w:p>
    <w:p w:rsidR="00A62F93" w:rsidRPr="00A62F93" w:rsidRDefault="00A62F93" w:rsidP="00A62F93">
      <w:pPr>
        <w:shd w:val="clear" w:color="auto" w:fill="F1F1F1"/>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b/>
          <w:bCs/>
          <w:color w:val="333333"/>
          <w:sz w:val="24"/>
          <w:szCs w:val="24"/>
        </w:rPr>
        <w:t>Methods: </w:t>
      </w:r>
      <w:r w:rsidRPr="00A62F93">
        <w:rPr>
          <w:rFonts w:ascii="Times New Roman" w:eastAsia="Times New Roman" w:hAnsi="Times New Roman" w:cs="Times New Roman"/>
          <w:color w:val="333333"/>
          <w:sz w:val="24"/>
          <w:szCs w:val="24"/>
        </w:rPr>
        <w:t xml:space="preserve">After a nipple-sparing mastectomy, acellular dermal matrix (ADM)-covered implants are placed in a </w:t>
      </w:r>
      <w:proofErr w:type="spellStart"/>
      <w:r w:rsidRPr="00A62F93">
        <w:rPr>
          <w:rFonts w:ascii="Times New Roman" w:eastAsia="Times New Roman" w:hAnsi="Times New Roman" w:cs="Times New Roman"/>
          <w:color w:val="333333"/>
          <w:sz w:val="24"/>
          <w:szCs w:val="24"/>
        </w:rPr>
        <w:t>prepectoral</w:t>
      </w:r>
      <w:proofErr w:type="spellEnd"/>
      <w:r w:rsidRPr="00A62F93">
        <w:rPr>
          <w:rFonts w:ascii="Times New Roman" w:eastAsia="Times New Roman" w:hAnsi="Times New Roman" w:cs="Times New Roman"/>
          <w:color w:val="333333"/>
          <w:sz w:val="24"/>
          <w:szCs w:val="24"/>
        </w:rPr>
        <w:t xml:space="preserve"> position in an immediate reconstruction. Assessment of results was performed via a retrospective review of demographic and procedural data.</w:t>
      </w:r>
    </w:p>
    <w:p w:rsidR="00A62F93" w:rsidRPr="00A62F93" w:rsidRDefault="00A62F93" w:rsidP="00A62F93">
      <w:pPr>
        <w:shd w:val="clear" w:color="auto" w:fill="F1F1F1"/>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b/>
          <w:bCs/>
          <w:color w:val="333333"/>
          <w:sz w:val="24"/>
          <w:szCs w:val="24"/>
        </w:rPr>
        <w:t>Results: </w:t>
      </w:r>
      <w:r w:rsidRPr="00A62F93">
        <w:rPr>
          <w:rFonts w:ascii="Times New Roman" w:eastAsia="Times New Roman" w:hAnsi="Times New Roman" w:cs="Times New Roman"/>
          <w:color w:val="333333"/>
          <w:sz w:val="24"/>
          <w:szCs w:val="24"/>
        </w:rPr>
        <w:t xml:space="preserve">Forty-five patients (79 breasts), mean age 46.8 years, were treated with direct-to-implant reconstruction using ADM-wrapped implants placed above the muscle with mean follow-up of 23.1 months (median 22 </w:t>
      </w:r>
      <w:proofErr w:type="spellStart"/>
      <w:r w:rsidRPr="00A62F93">
        <w:rPr>
          <w:rFonts w:ascii="Times New Roman" w:eastAsia="Times New Roman" w:hAnsi="Times New Roman" w:cs="Times New Roman"/>
          <w:color w:val="333333"/>
          <w:sz w:val="24"/>
          <w:szCs w:val="24"/>
        </w:rPr>
        <w:t>mo</w:t>
      </w:r>
      <w:proofErr w:type="spellEnd"/>
      <w:r w:rsidRPr="00A62F93">
        <w:rPr>
          <w:rFonts w:ascii="Times New Roman" w:eastAsia="Times New Roman" w:hAnsi="Times New Roman" w:cs="Times New Roman"/>
          <w:color w:val="333333"/>
          <w:sz w:val="24"/>
          <w:szCs w:val="24"/>
        </w:rPr>
        <w:t>). Mean body mass index was 24.3, and 15 patients (33.3%) were current or former smokers. Twenty-seven patients (60%) had prior breast surgery with 22 (49%) exposed to chemotherapy and 34 (76%) radiation. Procedure time averaged 155 minutes and hospital length of stay averaged 0.6 days. Complications included flap necrosis in 22 cases (28%), seroma in 12 (15%), infection in 8 (10%), rippling in 28 (35%), and contracture in 8 (10%). In 14 breasts (18%), postoperative wound complications (flap necrosis or infection) led to implant loss.</w:t>
      </w:r>
    </w:p>
    <w:p w:rsidR="00A62F93" w:rsidRPr="00A62F93" w:rsidRDefault="00A62F93" w:rsidP="00A62F93">
      <w:pPr>
        <w:shd w:val="clear" w:color="auto" w:fill="F1F1F1"/>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b/>
          <w:bCs/>
          <w:color w:val="333333"/>
          <w:sz w:val="24"/>
          <w:szCs w:val="24"/>
        </w:rPr>
        <w:t>Conclusions: </w:t>
      </w:r>
      <w:r w:rsidRPr="00A62F93">
        <w:rPr>
          <w:rFonts w:ascii="Times New Roman" w:eastAsia="Times New Roman" w:hAnsi="Times New Roman" w:cs="Times New Roman"/>
          <w:color w:val="333333"/>
          <w:sz w:val="24"/>
          <w:szCs w:val="24"/>
        </w:rPr>
        <w:t>The availability of ADM and cohesive gel implants has allowed us to perform above-the-muscle implant breast reconstruction in reduced time and often on an outpatient basis. Complication rates were comparable to expected results of standard expander-to-implant, staged breast reconstruction. This technique is a viable option delivering clinically and aesthetically acceptable results in select patients.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Breast reconstruction after mastectomy continues to evolve thanks in part to the development of unique technologies and enabling devices. The earliest reconstructions were described in the late 1800s,</w:t>
      </w:r>
      <w:hyperlink r:id="rId12" w:anchor="R1-5" w:history="1">
        <w:r w:rsidRPr="00A62F93">
          <w:rPr>
            <w:rFonts w:ascii="Times New Roman" w:eastAsia="Times New Roman" w:hAnsi="Times New Roman" w:cs="Times New Roman"/>
            <w:color w:val="867C9C"/>
            <w:sz w:val="16"/>
            <w:szCs w:val="16"/>
            <w:u w:val="single"/>
            <w:vertAlign w:val="superscript"/>
          </w:rPr>
          <w:t>1</w:t>
        </w:r>
      </w:hyperlink>
      <w:r w:rsidRPr="00A62F93">
        <w:rPr>
          <w:rFonts w:ascii="Times New Roman" w:eastAsia="Times New Roman" w:hAnsi="Times New Roman" w:cs="Times New Roman"/>
          <w:color w:val="333333"/>
          <w:sz w:val="24"/>
          <w:szCs w:val="24"/>
        </w:rPr>
        <w:t> and the practice was revolutionized with introduction of breast implants in the 1960s and tissue expanders in the 1980s. More recently, the availability of acellular dermal matrix (ADM) grafts introduced in early 2000s and the modern cohesive gel breast implants (FDA approved in 2006–2013) have permitted plastic surgeons to further enhance implant-based reconstruction and develop new protocols allowing for a shorter operative course and improved outcomes.</w:t>
      </w:r>
      <w:hyperlink r:id="rId13" w:anchor="R2-5" w:history="1">
        <w:r w:rsidRPr="00A62F93">
          <w:rPr>
            <w:rFonts w:ascii="Times New Roman" w:eastAsia="Times New Roman" w:hAnsi="Times New Roman" w:cs="Times New Roman"/>
            <w:color w:val="867C9C"/>
            <w:sz w:val="16"/>
            <w:szCs w:val="16"/>
            <w:u w:val="single"/>
            <w:vertAlign w:val="superscript"/>
          </w:rPr>
          <w:t>2</w:t>
        </w:r>
      </w:hyperlink>
      <w:r w:rsidRPr="00A62F93">
        <w:rPr>
          <w:rFonts w:ascii="Times New Roman" w:eastAsia="Times New Roman" w:hAnsi="Times New Roman" w:cs="Times New Roman"/>
          <w:color w:val="333333"/>
          <w:sz w:val="24"/>
          <w:szCs w:val="24"/>
        </w:rPr>
        <w:t xml:space="preserve"> Today, </w:t>
      </w:r>
      <w:r w:rsidRPr="00A62F93">
        <w:rPr>
          <w:rFonts w:ascii="Times New Roman" w:eastAsia="Times New Roman" w:hAnsi="Times New Roman" w:cs="Times New Roman"/>
          <w:color w:val="333333"/>
          <w:sz w:val="24"/>
          <w:szCs w:val="24"/>
        </w:rPr>
        <w:lastRenderedPageBreak/>
        <w:t>the majority of patients and their surgeons choose an implant-based approach for breast reconstruction.</w:t>
      </w:r>
      <w:hyperlink r:id="rId14" w:anchor="R3-5" w:history="1">
        <w:r w:rsidRPr="00A62F93">
          <w:rPr>
            <w:rFonts w:ascii="Times New Roman" w:eastAsia="Times New Roman" w:hAnsi="Times New Roman" w:cs="Times New Roman"/>
            <w:color w:val="867C9C"/>
            <w:sz w:val="16"/>
            <w:szCs w:val="16"/>
            <w:u w:val="single"/>
            <w:vertAlign w:val="superscript"/>
          </w:rPr>
          <w:t>3</w:t>
        </w:r>
      </w:hyperlink>
      <w:r w:rsidRPr="00A62F93">
        <w:rPr>
          <w:rFonts w:ascii="Times New Roman" w:eastAsia="Times New Roman" w:hAnsi="Times New Roman" w:cs="Times New Roman"/>
          <w:color w:val="333333"/>
          <w:sz w:val="24"/>
          <w:szCs w:val="24"/>
        </w:rPr>
        <w:t> The immediate direct-to-implant reconstruction has been shown to reduce operating room time, cost, and potential added morbidity associated with a 2-step expander/implant reconstruction.</w:t>
      </w:r>
      <w:hyperlink r:id="rId15" w:anchor="R4-5" w:history="1">
        <w:r w:rsidRPr="00A62F93">
          <w:rPr>
            <w:rFonts w:ascii="Times New Roman" w:eastAsia="Times New Roman" w:hAnsi="Times New Roman" w:cs="Times New Roman"/>
            <w:color w:val="867C9C"/>
            <w:sz w:val="16"/>
            <w:szCs w:val="16"/>
            <w:u w:val="single"/>
            <w:vertAlign w:val="superscript"/>
          </w:rPr>
          <w:t>4–6</w:t>
        </w:r>
      </w:hyperlink>
      <w:r w:rsidRPr="00A62F93">
        <w:rPr>
          <w:rFonts w:ascii="Times New Roman" w:eastAsia="Times New Roman" w:hAnsi="Times New Roman" w:cs="Times New Roman"/>
          <w:color w:val="333333"/>
          <w:sz w:val="24"/>
          <w:szCs w:val="24"/>
        </w:rPr>
        <w:t> We have taken a logical next step and have developed a technique that combines ADM coverage and above-the-muscle implant placement in a single immediate-to-implant reconstruction, which we can now perform in an outpatient setting.</w:t>
      </w:r>
    </w:p>
    <w:p w:rsidR="00A62F93" w:rsidRPr="00A62F93" w:rsidRDefault="00A62F93" w:rsidP="00A62F93">
      <w:pPr>
        <w:spacing w:after="0" w:line="240" w:lineRule="auto"/>
        <w:rPr>
          <w:rFonts w:ascii="Times New Roman" w:eastAsia="Times New Roman" w:hAnsi="Times New Roman" w:cs="Times New Roman"/>
          <w:sz w:val="24"/>
          <w:szCs w:val="24"/>
        </w:rPr>
      </w:pPr>
      <w:hyperlink r:id="rId16" w:history="1">
        <w:r w:rsidRPr="00A62F93">
          <w:rPr>
            <w:rFonts w:ascii="Times New Roman" w:eastAsia="Times New Roman" w:hAnsi="Times New Roman" w:cs="Times New Roman"/>
            <w:color w:val="867C9C"/>
            <w:sz w:val="24"/>
            <w:szCs w:val="24"/>
            <w:u w:val="single"/>
          </w:rPr>
          <w:t>Back to Top</w:t>
        </w:r>
      </w:hyperlink>
      <w:r w:rsidRPr="00A62F93">
        <w:rPr>
          <w:rFonts w:ascii="Times New Roman" w:eastAsia="Times New Roman" w:hAnsi="Times New Roman" w:cs="Times New Roman"/>
          <w:sz w:val="24"/>
          <w:szCs w:val="24"/>
        </w:rPr>
        <w:t> | </w:t>
      </w:r>
      <w:hyperlink r:id="rId17" w:history="1">
        <w:r w:rsidRPr="00A62F93">
          <w:rPr>
            <w:rFonts w:ascii="Times New Roman" w:eastAsia="Times New Roman" w:hAnsi="Times New Roman" w:cs="Times New Roman"/>
            <w:color w:val="867C9C"/>
            <w:sz w:val="24"/>
            <w:szCs w:val="24"/>
            <w:u w:val="single"/>
          </w:rPr>
          <w:t>Article Outline</w:t>
        </w:r>
      </w:hyperlink>
    </w:p>
    <w:p w:rsidR="00A62F93" w:rsidRPr="00A62F93" w:rsidRDefault="00A62F93" w:rsidP="00A62F93">
      <w:pPr>
        <w:spacing w:before="100" w:beforeAutospacing="1" w:after="0" w:line="240" w:lineRule="auto"/>
        <w:outlineLvl w:val="1"/>
        <w:rPr>
          <w:rFonts w:ascii="Arial" w:eastAsia="Times New Roman" w:hAnsi="Arial" w:cs="Arial"/>
          <w:b/>
          <w:bCs/>
          <w:color w:val="3B3030"/>
          <w:sz w:val="36"/>
          <w:szCs w:val="36"/>
        </w:rPr>
      </w:pPr>
      <w:r w:rsidRPr="00A62F93">
        <w:rPr>
          <w:rFonts w:ascii="Arial" w:eastAsia="Times New Roman" w:hAnsi="Arial" w:cs="Arial"/>
          <w:b/>
          <w:bCs/>
          <w:color w:val="3B3030"/>
          <w:sz w:val="36"/>
          <w:szCs w:val="36"/>
        </w:rPr>
        <w:t>METHODS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This is a retrospective review of 45 patients, 79 breasts treated with immediate above-the-muscle implant reconstruction performed by a single plastic surgeon between December 2011 and February 2015. Data describing baseline patient demographics, comorbidities, operative characteristics, and follow-up were collected from electronic health record reviews and patient interviews. Follow-up was obtained at least 7 months after the reconstruction or last-reported complication. We perform this procedure as standard of care for appropriate patients; thus, all patients provided standard surgical consent. Patient information was deidentified, complying with the Health Insurance Portability and Accountability Act.</w:t>
      </w:r>
    </w:p>
    <w:p w:rsidR="00A62F93" w:rsidRPr="00A62F93" w:rsidRDefault="00A62F93" w:rsidP="00A62F93">
      <w:pPr>
        <w:spacing w:after="0" w:line="240" w:lineRule="auto"/>
        <w:rPr>
          <w:rFonts w:ascii="Times New Roman" w:eastAsia="Times New Roman" w:hAnsi="Times New Roman" w:cs="Times New Roman"/>
          <w:sz w:val="24"/>
          <w:szCs w:val="24"/>
        </w:rPr>
      </w:pPr>
      <w:hyperlink r:id="rId18" w:history="1">
        <w:r w:rsidRPr="00A62F93">
          <w:rPr>
            <w:rFonts w:ascii="Times New Roman" w:eastAsia="Times New Roman" w:hAnsi="Times New Roman" w:cs="Times New Roman"/>
            <w:color w:val="867C9C"/>
            <w:sz w:val="24"/>
            <w:szCs w:val="24"/>
            <w:u w:val="single"/>
          </w:rPr>
          <w:t>Back to Top</w:t>
        </w:r>
      </w:hyperlink>
      <w:r w:rsidRPr="00A62F93">
        <w:rPr>
          <w:rFonts w:ascii="Times New Roman" w:eastAsia="Times New Roman" w:hAnsi="Times New Roman" w:cs="Times New Roman"/>
          <w:sz w:val="24"/>
          <w:szCs w:val="24"/>
        </w:rPr>
        <w:t> | </w:t>
      </w:r>
      <w:hyperlink r:id="rId19" w:history="1">
        <w:r w:rsidRPr="00A62F93">
          <w:rPr>
            <w:rFonts w:ascii="Times New Roman" w:eastAsia="Times New Roman" w:hAnsi="Times New Roman" w:cs="Times New Roman"/>
            <w:color w:val="867C9C"/>
            <w:sz w:val="24"/>
            <w:szCs w:val="24"/>
            <w:u w:val="single"/>
          </w:rPr>
          <w:t>Article Outline</w:t>
        </w:r>
      </w:hyperlink>
    </w:p>
    <w:p w:rsidR="00A62F93" w:rsidRPr="00A62F93" w:rsidRDefault="00A62F93" w:rsidP="00A62F93">
      <w:pPr>
        <w:spacing w:before="100" w:beforeAutospacing="1" w:after="0" w:line="240" w:lineRule="auto"/>
        <w:outlineLvl w:val="1"/>
        <w:rPr>
          <w:rFonts w:ascii="Arial" w:eastAsia="Times New Roman" w:hAnsi="Arial" w:cs="Arial"/>
          <w:b/>
          <w:bCs/>
          <w:color w:val="3B3030"/>
          <w:sz w:val="36"/>
          <w:szCs w:val="36"/>
        </w:rPr>
      </w:pPr>
      <w:r w:rsidRPr="00A62F93">
        <w:rPr>
          <w:rFonts w:ascii="Arial" w:eastAsia="Times New Roman" w:hAnsi="Arial" w:cs="Arial"/>
          <w:b/>
          <w:bCs/>
          <w:color w:val="3B3030"/>
          <w:sz w:val="36"/>
          <w:szCs w:val="36"/>
        </w:rPr>
        <w:t>SURGICAL TECHNIQUE</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Preoperative patient counseling includes review of the direct-to-implant reconstruction and other surgical options including, but not limited to, staged expander/implant and autologous tissue reconstructions and no reconstruction. Expected outcomes, risks, and potential for additional revision procedures are discussed and patients consented for the direct-to-implant procedure and their preferred alternative options, should they become necessary.</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Before surgery, the breast boundaries are marked to assist the mastectomy surgeon and aid in implant size selection (</w:t>
      </w:r>
      <w:hyperlink r:id="rId20" w:history="1">
        <w:r w:rsidRPr="00A62F93">
          <w:rPr>
            <w:rFonts w:ascii="Times New Roman" w:eastAsia="Times New Roman" w:hAnsi="Times New Roman" w:cs="Times New Roman"/>
            <w:color w:val="867C9C"/>
            <w:sz w:val="24"/>
            <w:szCs w:val="24"/>
            <w:u w:val="single"/>
          </w:rPr>
          <w:t>Fig. 1</w:t>
        </w:r>
      </w:hyperlink>
      <w:r w:rsidRPr="00A62F93">
        <w:rPr>
          <w:rFonts w:ascii="Times New Roman" w:eastAsia="Times New Roman" w:hAnsi="Times New Roman" w:cs="Times New Roman"/>
          <w:color w:val="333333"/>
          <w:sz w:val="24"/>
          <w:szCs w:val="24"/>
        </w:rPr>
        <w:t>). A general surgeon performs a nipple-sparing mastectomy using an inframammary or lateral approach with or without a supra- or infraareolar extension. The approach is carefully discussed with the surgeon to review experience and preference, oncologic requirements, and aesthetic needs of the patient. If necessary, a small mastopexy is performed through the supra-areolar extension for minor ptosis correction.</w:t>
      </w:r>
    </w:p>
    <w:p w:rsidR="00A62F93" w:rsidRPr="00A62F93" w:rsidRDefault="00A62F93" w:rsidP="00A62F93">
      <w:pPr>
        <w:spacing w:after="0" w:line="240" w:lineRule="auto"/>
        <w:rPr>
          <w:rFonts w:ascii="Times New Roman" w:eastAsia="Times New Roman" w:hAnsi="Times New Roman" w:cs="Times New Roman"/>
          <w:color w:val="867C9C"/>
          <w:sz w:val="24"/>
          <w:szCs w:val="24"/>
        </w:rPr>
      </w:pPr>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"javascript:void(0)"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noProof/>
          <w:color w:val="867C9C"/>
          <w:sz w:val="24"/>
          <w:szCs w:val="24"/>
        </w:rPr>
        <mc:AlternateContent>
          <mc:Choice Requires="wps">
            <w:drawing>
              <wp:inline distT="0" distB="0" distL="0" distR="0" wp14:anchorId="42CBF380" wp14:editId="0CD97D42">
                <wp:extent cx="304800" cy="304800"/>
                <wp:effectExtent l="0" t="0" r="0" b="0"/>
                <wp:docPr id="9" name="AutoShape 3" descr="Fig. 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296410" id="AutoShape 3" o:spid="_x0000_s1026" alt="Fig. 1"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" o:button="t" filled="f" stroked="f">
                <v:fill o:detectmouseclick="t"/>
                <o:lock v:ext="edit" aspectratio="t"/>
                <w10:anchorlock/>
              </v:rect>
            </w:pict>
          </mc:Fallback>
        </mc:AlternateContent>
      </w:r>
    </w:p>
    <w:p w:rsidR="00A62F93" w:rsidRPr="00A62F93" w:rsidRDefault="00A62F93" w:rsidP="00A62F93">
      <w:pPr>
        <w:spacing w:before="100" w:beforeAutospacing="1" w:after="100" w:afterAutospacing="1" w:line="240" w:lineRule="auto"/>
        <w:outlineLvl w:val="2"/>
        <w:rPr>
          <w:rFonts w:ascii="Arial" w:eastAsia="Times New Roman" w:hAnsi="Arial" w:cs="Arial"/>
          <w:i/>
          <w:iCs/>
          <w:color w:val="000000"/>
          <w:sz w:val="27"/>
          <w:szCs w:val="27"/>
        </w:rPr>
      </w:pPr>
      <w:r w:rsidRPr="00A62F93">
        <w:rPr>
          <w:rFonts w:ascii="Arial" w:eastAsia="Times New Roman" w:hAnsi="Arial" w:cs="Arial"/>
          <w:i/>
          <w:iCs/>
          <w:color w:val="000000"/>
          <w:sz w:val="27"/>
          <w:szCs w:val="27"/>
        </w:rPr>
        <w:t>Fig. 1</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fldChar w:fldCharType="end"/>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At completion of the mastectomy, the surgical team evaluates the mastectomy flaps for viability using their best clinical judgment and available techniques. In our facility, we have a SPY Elite System (</w:t>
      </w:r>
      <w:proofErr w:type="spellStart"/>
      <w:r w:rsidRPr="00A62F93">
        <w:rPr>
          <w:rFonts w:ascii="Times New Roman" w:eastAsia="Times New Roman" w:hAnsi="Times New Roman" w:cs="Times New Roman"/>
          <w:color w:val="333333"/>
          <w:sz w:val="24"/>
          <w:szCs w:val="24"/>
        </w:rPr>
        <w:t>Novadaq</w:t>
      </w:r>
      <w:proofErr w:type="spellEnd"/>
      <w:r w:rsidRPr="00A62F93">
        <w:rPr>
          <w:rFonts w:ascii="Times New Roman" w:eastAsia="Times New Roman" w:hAnsi="Times New Roman" w:cs="Times New Roman"/>
          <w:color w:val="333333"/>
          <w:sz w:val="24"/>
          <w:szCs w:val="24"/>
        </w:rPr>
        <w:t xml:space="preserve">, Bonita Springs, Fla.) available to measure intraoperative tissue perfusion. During this evaluation, a 100% cursor is applied to an obviously viable flap area and typically a relative reading of 30 or above is considered to predict an adequate measure of tissue viability. If </w:t>
      </w:r>
      <w:r w:rsidRPr="00A62F93">
        <w:rPr>
          <w:rFonts w:ascii="Times New Roman" w:eastAsia="Times New Roman" w:hAnsi="Times New Roman" w:cs="Times New Roman"/>
          <w:color w:val="333333"/>
          <w:sz w:val="24"/>
          <w:szCs w:val="24"/>
        </w:rPr>
        <w:lastRenderedPageBreak/>
        <w:t>there is a predicted area of tissue necrosis, it is debrided at this point. If this area is sizeable, we convert to an alternate approach.</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Upon proceeding with the direct-to-implant route, the tissue is again evaluated with a sizer in place (</w:t>
      </w:r>
      <w:hyperlink r:id="rId21" w:history="1">
        <w:r w:rsidRPr="00A62F93">
          <w:rPr>
            <w:rFonts w:ascii="Times New Roman" w:eastAsia="Times New Roman" w:hAnsi="Times New Roman" w:cs="Times New Roman"/>
            <w:color w:val="867C9C"/>
            <w:sz w:val="24"/>
            <w:szCs w:val="24"/>
            <w:u w:val="single"/>
          </w:rPr>
          <w:t>Fig. 2</w:t>
        </w:r>
      </w:hyperlink>
      <w:r w:rsidRPr="00A62F93">
        <w:rPr>
          <w:rFonts w:ascii="Times New Roman" w:eastAsia="Times New Roman" w:hAnsi="Times New Roman" w:cs="Times New Roman"/>
          <w:color w:val="333333"/>
          <w:sz w:val="24"/>
          <w:szCs w:val="24"/>
        </w:rPr>
        <w:t>). Appropriate pocket alterations are made to assist with a “hand in glove” implant fit. If necessary, a 2-0 PDS suture (Ethicon, Somerville, N.J.) is utilized to reinforce the inframammary fold or close the lateral pocket and axilla.</w:t>
      </w:r>
    </w:p>
    <w:p w:rsidR="00A62F93" w:rsidRPr="00A62F93" w:rsidRDefault="00A62F93" w:rsidP="00A62F93">
      <w:pPr>
        <w:spacing w:after="0" w:line="240" w:lineRule="auto"/>
        <w:rPr>
          <w:rFonts w:ascii="Times New Roman" w:eastAsia="Times New Roman" w:hAnsi="Times New Roman" w:cs="Times New Roman"/>
          <w:color w:val="867C9C"/>
          <w:sz w:val="24"/>
          <w:szCs w:val="24"/>
        </w:rPr>
      </w:pPr>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"javascript:void(0)"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noProof/>
          <w:color w:val="867C9C"/>
          <w:sz w:val="24"/>
          <w:szCs w:val="24"/>
        </w:rPr>
        <mc:AlternateContent>
          <mc:Choice Requires="wps">
            <w:drawing>
              <wp:inline distT="0" distB="0" distL="0" distR="0" wp14:anchorId="25495FAD" wp14:editId="0F36A19F">
                <wp:extent cx="304800" cy="304800"/>
                <wp:effectExtent l="0" t="0" r="0" b="0"/>
                <wp:docPr id="8" name="AutoShape 4" descr="Fig. 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6D4F0D" id="AutoShape 4" o:spid="_x0000_s1026" alt="Fig. 2"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" o:button="t" filled="f" stroked="f">
                <v:fill o:detectmouseclick="t"/>
                <o:lock v:ext="edit" aspectratio="t"/>
                <w10:anchorlock/>
              </v:rect>
            </w:pict>
          </mc:Fallback>
        </mc:AlternateContent>
      </w:r>
    </w:p>
    <w:p w:rsidR="00A62F93" w:rsidRPr="00A62F93" w:rsidRDefault="00A62F93" w:rsidP="00A62F93">
      <w:pPr>
        <w:spacing w:before="100" w:beforeAutospacing="1" w:after="100" w:afterAutospacing="1" w:line="240" w:lineRule="auto"/>
        <w:outlineLvl w:val="2"/>
        <w:rPr>
          <w:rFonts w:ascii="Arial" w:eastAsia="Times New Roman" w:hAnsi="Arial" w:cs="Arial"/>
          <w:i/>
          <w:iCs/>
          <w:color w:val="000000"/>
          <w:sz w:val="27"/>
          <w:szCs w:val="27"/>
        </w:rPr>
      </w:pPr>
      <w:r w:rsidRPr="00A62F93">
        <w:rPr>
          <w:rFonts w:ascii="Arial" w:eastAsia="Times New Roman" w:hAnsi="Arial" w:cs="Arial"/>
          <w:i/>
          <w:iCs/>
          <w:color w:val="000000"/>
          <w:sz w:val="27"/>
          <w:szCs w:val="27"/>
        </w:rPr>
        <w:t>Fig. 2</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fldChar w:fldCharType="end"/>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 xml:space="preserve">The approximate implant size is determined preoperatively, sometimes with the aid of 3D imaging. A </w:t>
      </w:r>
      <w:proofErr w:type="spellStart"/>
      <w:r w:rsidRPr="00A62F93">
        <w:rPr>
          <w:rFonts w:ascii="Times New Roman" w:eastAsia="Times New Roman" w:hAnsi="Times New Roman" w:cs="Times New Roman"/>
          <w:color w:val="333333"/>
          <w:sz w:val="24"/>
          <w:szCs w:val="24"/>
        </w:rPr>
        <w:t>MemoryShape</w:t>
      </w:r>
      <w:proofErr w:type="spellEnd"/>
      <w:r w:rsidRPr="00A62F93">
        <w:rPr>
          <w:rFonts w:ascii="Times New Roman" w:eastAsia="Times New Roman" w:hAnsi="Times New Roman" w:cs="Times New Roman"/>
          <w:color w:val="333333"/>
          <w:sz w:val="24"/>
          <w:szCs w:val="24"/>
        </w:rPr>
        <w:t xml:space="preserve"> implant (Mentor, Santa Barbara, Ca.) is wrapped anteriorly and posteriorly with 16- × 20-cm-sized ADM [</w:t>
      </w:r>
      <w:proofErr w:type="spellStart"/>
      <w:r w:rsidRPr="00A62F93">
        <w:rPr>
          <w:rFonts w:ascii="Times New Roman" w:eastAsia="Times New Roman" w:hAnsi="Times New Roman" w:cs="Times New Roman"/>
          <w:color w:val="333333"/>
          <w:sz w:val="24"/>
          <w:szCs w:val="24"/>
        </w:rPr>
        <w:t>AlloDerm</w:t>
      </w:r>
      <w:proofErr w:type="spellEnd"/>
      <w:r w:rsidRPr="00A62F93">
        <w:rPr>
          <w:rFonts w:ascii="Times New Roman" w:eastAsia="Times New Roman" w:hAnsi="Times New Roman" w:cs="Times New Roman"/>
          <w:color w:val="333333"/>
          <w:sz w:val="24"/>
          <w:szCs w:val="24"/>
        </w:rPr>
        <w:t xml:space="preserve"> (</w:t>
      </w:r>
      <w:proofErr w:type="spellStart"/>
      <w:r w:rsidRPr="00A62F93">
        <w:rPr>
          <w:rFonts w:ascii="Times New Roman" w:eastAsia="Times New Roman" w:hAnsi="Times New Roman" w:cs="Times New Roman"/>
          <w:color w:val="333333"/>
          <w:sz w:val="24"/>
          <w:szCs w:val="24"/>
        </w:rPr>
        <w:t>LifeCell</w:t>
      </w:r>
      <w:proofErr w:type="spellEnd"/>
      <w:r w:rsidRPr="00A62F93">
        <w:rPr>
          <w:rFonts w:ascii="Times New Roman" w:eastAsia="Times New Roman" w:hAnsi="Times New Roman" w:cs="Times New Roman"/>
          <w:color w:val="333333"/>
          <w:sz w:val="24"/>
          <w:szCs w:val="24"/>
        </w:rPr>
        <w:t xml:space="preserve">, Branchburg, N.J.) or </w:t>
      </w:r>
      <w:proofErr w:type="spellStart"/>
      <w:r w:rsidRPr="00A62F93">
        <w:rPr>
          <w:rFonts w:ascii="Times New Roman" w:eastAsia="Times New Roman" w:hAnsi="Times New Roman" w:cs="Times New Roman"/>
          <w:color w:val="333333"/>
          <w:sz w:val="24"/>
          <w:szCs w:val="24"/>
        </w:rPr>
        <w:t>FlexHD</w:t>
      </w:r>
      <w:proofErr w:type="spellEnd"/>
      <w:r w:rsidRPr="00A62F93">
        <w:rPr>
          <w:rFonts w:ascii="Times New Roman" w:eastAsia="Times New Roman" w:hAnsi="Times New Roman" w:cs="Times New Roman"/>
          <w:color w:val="333333"/>
          <w:sz w:val="24"/>
          <w:szCs w:val="24"/>
        </w:rPr>
        <w:t xml:space="preserve"> (MTF, Edison, N.J.)] (</w:t>
      </w:r>
      <w:hyperlink r:id="rId22" w:history="1">
        <w:r w:rsidRPr="00A62F93">
          <w:rPr>
            <w:rFonts w:ascii="Times New Roman" w:eastAsia="Times New Roman" w:hAnsi="Times New Roman" w:cs="Times New Roman"/>
            <w:color w:val="867C9C"/>
            <w:sz w:val="24"/>
            <w:szCs w:val="24"/>
            <w:u w:val="single"/>
          </w:rPr>
          <w:t>Fig. 3</w:t>
        </w:r>
      </w:hyperlink>
      <w:r w:rsidRPr="00A62F93">
        <w:rPr>
          <w:rFonts w:ascii="Times New Roman" w:eastAsia="Times New Roman" w:hAnsi="Times New Roman" w:cs="Times New Roman"/>
          <w:color w:val="333333"/>
          <w:sz w:val="24"/>
          <w:szCs w:val="24"/>
        </w:rPr>
        <w:t xml:space="preserve">). In some cases, 2 pieces are used, forming a complete 360-degree implant wrap. The margins of the resultant unit are used to suture the implant to the chest wall and inframammary fold, avoiding migration or rotation of the implant. Alternatively, an anterior wrap using a single ADM piece can be used. This anterior wrap is secured with posterior spanning 2-0 PDS sutures, allowing the posterior texturing of the implant to assist in implant location and adhesiveness to avoid malposition. The implant/ADM is positioned in the pocket above the pectoralis and secured to the chest wall at 2 or more locations inferiorly. The posterior aspect of the nipple is positioned and sutured to the anterior portion of the ADM with 2-0 PDS suture to stabilize nipple location and avoid slippage. A 15Fr drain is placed in the mastectomy pocket, positioned around the periphery of the implant and fastened at the skin level with 3-0 silk (Ethicon, Somerville, N.J.). The incision is closed with 3-0 </w:t>
      </w:r>
      <w:proofErr w:type="spellStart"/>
      <w:r w:rsidRPr="00A62F93">
        <w:rPr>
          <w:rFonts w:ascii="Times New Roman" w:eastAsia="Times New Roman" w:hAnsi="Times New Roman" w:cs="Times New Roman"/>
          <w:color w:val="333333"/>
          <w:sz w:val="24"/>
          <w:szCs w:val="24"/>
        </w:rPr>
        <w:t>monocryl</w:t>
      </w:r>
      <w:proofErr w:type="spellEnd"/>
      <w:r w:rsidRPr="00A62F93">
        <w:rPr>
          <w:rFonts w:ascii="Times New Roman" w:eastAsia="Times New Roman" w:hAnsi="Times New Roman" w:cs="Times New Roman"/>
          <w:color w:val="333333"/>
          <w:sz w:val="24"/>
          <w:szCs w:val="24"/>
        </w:rPr>
        <w:t xml:space="preserve"> (Ethicon, Somerville, N.J.) in the subcutaneous and subcuticular levels and the wound is sealed with tissue adhesive. The inframammary fold and lateral pocket are reinforced with </w:t>
      </w:r>
      <w:proofErr w:type="spellStart"/>
      <w:r w:rsidRPr="00A62F93">
        <w:rPr>
          <w:rFonts w:ascii="Times New Roman" w:eastAsia="Times New Roman" w:hAnsi="Times New Roman" w:cs="Times New Roman"/>
          <w:color w:val="333333"/>
          <w:sz w:val="24"/>
          <w:szCs w:val="24"/>
        </w:rPr>
        <w:t>Mastisol</w:t>
      </w:r>
      <w:proofErr w:type="spellEnd"/>
      <w:r w:rsidRPr="00A62F93">
        <w:rPr>
          <w:rFonts w:ascii="Times New Roman" w:eastAsia="Times New Roman" w:hAnsi="Times New Roman" w:cs="Times New Roman"/>
          <w:color w:val="333333"/>
          <w:sz w:val="24"/>
          <w:szCs w:val="24"/>
        </w:rPr>
        <w:t xml:space="preserve"> and 1-in foam tape left in place for 24 hours. The patient is placed in a postoperative bra, reversed from anesthesia and sent to recovery. We use </w:t>
      </w:r>
      <w:proofErr w:type="spellStart"/>
      <w:r w:rsidRPr="00A62F93">
        <w:rPr>
          <w:rFonts w:ascii="Times New Roman" w:eastAsia="Times New Roman" w:hAnsi="Times New Roman" w:cs="Times New Roman"/>
          <w:color w:val="333333"/>
          <w:sz w:val="24"/>
          <w:szCs w:val="24"/>
        </w:rPr>
        <w:t>Exparel</w:t>
      </w:r>
      <w:proofErr w:type="spellEnd"/>
      <w:r w:rsidRPr="00A62F93">
        <w:rPr>
          <w:rFonts w:ascii="Times New Roman" w:eastAsia="Times New Roman" w:hAnsi="Times New Roman" w:cs="Times New Roman"/>
          <w:color w:val="333333"/>
          <w:sz w:val="24"/>
          <w:szCs w:val="24"/>
        </w:rPr>
        <w:t xml:space="preserve"> (</w:t>
      </w:r>
      <w:proofErr w:type="spellStart"/>
      <w:r w:rsidRPr="00A62F93">
        <w:rPr>
          <w:rFonts w:ascii="Times New Roman" w:eastAsia="Times New Roman" w:hAnsi="Times New Roman" w:cs="Times New Roman"/>
          <w:color w:val="333333"/>
          <w:sz w:val="24"/>
          <w:szCs w:val="24"/>
        </w:rPr>
        <w:t>Pacira</w:t>
      </w:r>
      <w:proofErr w:type="spellEnd"/>
      <w:r w:rsidRPr="00A62F93">
        <w:rPr>
          <w:rFonts w:ascii="Times New Roman" w:eastAsia="Times New Roman" w:hAnsi="Times New Roman" w:cs="Times New Roman"/>
          <w:color w:val="333333"/>
          <w:sz w:val="24"/>
          <w:szCs w:val="24"/>
        </w:rPr>
        <w:t>, San Diego, Ca.) to further reduce postoperative discomfort, and typically narcotics are not required for pain. Patients may be kept overnight or sent home the same day. (See </w:t>
      </w:r>
      <w:hyperlink r:id="rId23" w:history="1">
        <w:r w:rsidRPr="00A62F93">
          <w:rPr>
            <w:rFonts w:ascii="Times New Roman" w:eastAsia="Times New Roman" w:hAnsi="Times New Roman" w:cs="Times New Roman"/>
            <w:color w:val="867C9C"/>
            <w:sz w:val="24"/>
            <w:szCs w:val="24"/>
            <w:u w:val="single"/>
          </w:rPr>
          <w:t>video</w:t>
        </w:r>
      </w:hyperlink>
      <w:r w:rsidRPr="00A62F93">
        <w:rPr>
          <w:rFonts w:ascii="Times New Roman" w:eastAsia="Times New Roman" w:hAnsi="Times New Roman" w:cs="Times New Roman"/>
          <w:color w:val="333333"/>
          <w:sz w:val="24"/>
          <w:szCs w:val="24"/>
        </w:rPr>
        <w:t>, Supplemental Digital Content 1, which displays a short video clip of the operative technique. This video is available in the “Related Videos” section of the Full-Text article on PRSGlobalOpen.com or available at </w:t>
      </w:r>
      <w:hyperlink r:id="rId24" w:tgtFrame="_blank" w:history="1">
        <w:r w:rsidRPr="00A62F93">
          <w:rPr>
            <w:rFonts w:ascii="Times New Roman" w:eastAsia="Times New Roman" w:hAnsi="Times New Roman" w:cs="Times New Roman"/>
            <w:color w:val="867C9C"/>
            <w:sz w:val="24"/>
            <w:szCs w:val="24"/>
            <w:u w:val="single"/>
          </w:rPr>
          <w:t>http://links.lww.com/PRSGO/A239</w:t>
        </w:r>
      </w:hyperlink>
      <w:r w:rsidRPr="00A62F93">
        <w:rPr>
          <w:rFonts w:ascii="Times New Roman" w:eastAsia="Times New Roman" w:hAnsi="Times New Roman" w:cs="Times New Roman"/>
          <w:color w:val="333333"/>
          <w:sz w:val="24"/>
          <w:szCs w:val="24"/>
        </w:rPr>
        <w:t>.)</w:t>
      </w:r>
    </w:p>
    <w:p w:rsidR="00A62F93" w:rsidRPr="00A62F93" w:rsidRDefault="00A62F93" w:rsidP="00A62F93">
      <w:pPr>
        <w:spacing w:after="0" w:line="240" w:lineRule="auto"/>
        <w:rPr>
          <w:rFonts w:ascii="Times New Roman" w:eastAsia="Times New Roman" w:hAnsi="Times New Roman" w:cs="Times New Roman"/>
          <w:color w:val="867C9C"/>
          <w:sz w:val="24"/>
          <w:szCs w:val="24"/>
        </w:rPr>
      </w:pPr>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"javascript:void(0)"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noProof/>
          <w:color w:val="867C9C"/>
          <w:sz w:val="24"/>
          <w:szCs w:val="24"/>
        </w:rPr>
        <mc:AlternateContent>
          <mc:Choice Requires="wps">
            <w:drawing>
              <wp:inline distT="0" distB="0" distL="0" distR="0" wp14:anchorId="0AE83216" wp14:editId="1A24A04A">
                <wp:extent cx="304800" cy="304800"/>
                <wp:effectExtent l="0" t="0" r="0" b="0"/>
                <wp:docPr id="7" name="AutoShape 5" descr="Fig. 3">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44FAA7" id="AutoShape 5" o:spid="_x0000_s1026" alt="Fig. 3"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" o:button="t" filled="f" stroked="f">
                <v:fill o:detectmouseclick="t"/>
                <o:lock v:ext="edit" aspectratio="t"/>
                <w10:anchorlock/>
              </v:rect>
            </w:pict>
          </mc:Fallback>
        </mc:AlternateContent>
      </w:r>
    </w:p>
    <w:p w:rsidR="00A62F93" w:rsidRPr="00A62F93" w:rsidRDefault="00A62F93" w:rsidP="00A62F93">
      <w:pPr>
        <w:spacing w:before="100" w:beforeAutospacing="1" w:after="100" w:afterAutospacing="1" w:line="240" w:lineRule="auto"/>
        <w:outlineLvl w:val="2"/>
        <w:rPr>
          <w:rFonts w:ascii="Arial" w:eastAsia="Times New Roman" w:hAnsi="Arial" w:cs="Arial"/>
          <w:i/>
          <w:iCs/>
          <w:color w:val="000000"/>
          <w:sz w:val="27"/>
          <w:szCs w:val="27"/>
        </w:rPr>
      </w:pPr>
      <w:r w:rsidRPr="00A62F93">
        <w:rPr>
          <w:rFonts w:ascii="Arial" w:eastAsia="Times New Roman" w:hAnsi="Arial" w:cs="Arial"/>
          <w:i/>
          <w:iCs/>
          <w:color w:val="000000"/>
          <w:sz w:val="27"/>
          <w:szCs w:val="27"/>
        </w:rPr>
        <w:t>Fig. 3</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fldChar w:fldCharType="end"/>
      </w:r>
    </w:p>
    <w:p w:rsidR="00A62F93" w:rsidRPr="00A62F93" w:rsidRDefault="00A62F93" w:rsidP="00A62F93">
      <w:pPr>
        <w:spacing w:after="0" w:line="240" w:lineRule="auto"/>
        <w:rPr>
          <w:rFonts w:ascii="Times New Roman" w:eastAsia="Times New Roman" w:hAnsi="Times New Roman" w:cs="Times New Roman"/>
          <w:color w:val="867C9C"/>
          <w:sz w:val="24"/>
          <w:szCs w:val="24"/>
        </w:rPr>
      </w:pPr>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"javascript:void(0)"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noProof/>
          <w:color w:val="867C9C"/>
          <w:sz w:val="24"/>
          <w:szCs w:val="24"/>
        </w:rPr>
        <mc:AlternateContent>
          <mc:Choice Requires="wps">
            <w:drawing>
              <wp:inline distT="0" distB="0" distL="0" distR="0" wp14:anchorId="08D63F5A" wp14:editId="319025C4">
                <wp:extent cx="304800" cy="304800"/>
                <wp:effectExtent l="0" t="0" r="0" b="0"/>
                <wp:docPr id="6" name="AutoShape 6" descr="Video">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1DE53A" id="AutoShape 6" o:spid="_x0000_s1026" alt="Video"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" o:button="t" filled="f" stroked="f">
                <v:fill o:detectmouseclick="t"/>
                <o:lock v:ext="edit" aspectratio="t"/>
                <w10:anchorlock/>
              </v:rect>
            </w:pict>
          </mc:Fallback>
        </mc:AlternateContent>
      </w:r>
    </w:p>
    <w:p w:rsidR="00A62F93" w:rsidRPr="00A62F93" w:rsidRDefault="00A62F93" w:rsidP="00A62F93">
      <w:pPr>
        <w:spacing w:before="100" w:beforeAutospacing="1" w:after="100" w:afterAutospacing="1" w:line="240" w:lineRule="auto"/>
        <w:outlineLvl w:val="2"/>
        <w:rPr>
          <w:rFonts w:ascii="Arial" w:eastAsia="Times New Roman" w:hAnsi="Arial" w:cs="Arial"/>
          <w:i/>
          <w:iCs/>
          <w:color w:val="000000"/>
          <w:sz w:val="27"/>
          <w:szCs w:val="27"/>
        </w:rPr>
      </w:pPr>
      <w:r w:rsidRPr="00A62F93">
        <w:rPr>
          <w:rFonts w:ascii="Arial" w:eastAsia="Times New Roman" w:hAnsi="Arial" w:cs="Arial"/>
          <w:i/>
          <w:iCs/>
          <w:color w:val="000000"/>
          <w:sz w:val="27"/>
          <w:szCs w:val="27"/>
        </w:rPr>
        <w:t>Video</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lastRenderedPageBreak/>
        <w:fldChar w:fldCharType="end"/>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Patients are seen within the first 3 postoperative days for wound and drain assessment. Drain removal usually occurs 10 days postoperatively or when drainage is below 30 cc/d per drain for 2 consecutive days. Fat grafting or other revision procedures are sometimes desired to enhance aesthetic outcomes and can be performed subsequently. </w:t>
      </w:r>
      <w:hyperlink r:id="rId25" w:history="1">
        <w:r w:rsidRPr="00A62F93">
          <w:rPr>
            <w:rFonts w:ascii="Times New Roman" w:eastAsia="Times New Roman" w:hAnsi="Times New Roman" w:cs="Times New Roman"/>
            <w:color w:val="867C9C"/>
            <w:sz w:val="24"/>
            <w:szCs w:val="24"/>
            <w:u w:val="single"/>
          </w:rPr>
          <w:t>Figures 4</w:t>
        </w:r>
      </w:hyperlink>
      <w:r w:rsidRPr="00A62F93">
        <w:rPr>
          <w:rFonts w:ascii="Times New Roman" w:eastAsia="Times New Roman" w:hAnsi="Times New Roman" w:cs="Times New Roman"/>
          <w:color w:val="333333"/>
          <w:sz w:val="24"/>
          <w:szCs w:val="24"/>
        </w:rPr>
        <w:t> and </w:t>
      </w:r>
      <w:hyperlink r:id="rId26" w:history="1">
        <w:r w:rsidRPr="00A62F93">
          <w:rPr>
            <w:rFonts w:ascii="Times New Roman" w:eastAsia="Times New Roman" w:hAnsi="Times New Roman" w:cs="Times New Roman"/>
            <w:color w:val="867C9C"/>
            <w:sz w:val="24"/>
            <w:szCs w:val="24"/>
            <w:u w:val="single"/>
          </w:rPr>
          <w:t>5</w:t>
        </w:r>
      </w:hyperlink>
      <w:r w:rsidRPr="00A62F93">
        <w:rPr>
          <w:rFonts w:ascii="Times New Roman" w:eastAsia="Times New Roman" w:hAnsi="Times New Roman" w:cs="Times New Roman"/>
          <w:color w:val="333333"/>
          <w:sz w:val="24"/>
          <w:szCs w:val="24"/>
        </w:rPr>
        <w:t>depict representative pre- and postoperative outcomes.</w:t>
      </w:r>
    </w:p>
    <w:p w:rsidR="00A62F93" w:rsidRPr="00A62F93" w:rsidRDefault="00A62F93" w:rsidP="00A62F93">
      <w:pPr>
        <w:spacing w:after="0" w:line="240" w:lineRule="auto"/>
        <w:rPr>
          <w:rFonts w:ascii="Times New Roman" w:eastAsia="Times New Roman" w:hAnsi="Times New Roman" w:cs="Times New Roman"/>
          <w:color w:val="867C9C"/>
          <w:sz w:val="24"/>
          <w:szCs w:val="24"/>
        </w:rPr>
      </w:pPr>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"javascript:void(0)"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noProof/>
          <w:color w:val="867C9C"/>
          <w:sz w:val="24"/>
          <w:szCs w:val="24"/>
        </w:rPr>
        <mc:AlternateContent>
          <mc:Choice Requires="wps">
            <w:drawing>
              <wp:inline distT="0" distB="0" distL="0" distR="0" wp14:anchorId="1E490C81" wp14:editId="4D0A5C47">
                <wp:extent cx="304800" cy="304800"/>
                <wp:effectExtent l="0" t="0" r="0" b="0"/>
                <wp:docPr id="5" name="AutoShape 7" descr="Fig. 4">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1DDD0F" id="AutoShape 7" o:spid="_x0000_s1026" alt="Fig. 4"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" o:button="t" filled="f" stroked="f">
                <v:fill o:detectmouseclick="t"/>
                <o:lock v:ext="edit" aspectratio="t"/>
                <w10:anchorlock/>
              </v:rect>
            </w:pict>
          </mc:Fallback>
        </mc:AlternateContent>
      </w:r>
    </w:p>
    <w:p w:rsidR="00A62F93" w:rsidRPr="00A62F93" w:rsidRDefault="00A62F93" w:rsidP="00A62F93">
      <w:pPr>
        <w:spacing w:before="100" w:beforeAutospacing="1" w:after="100" w:afterAutospacing="1" w:line="240" w:lineRule="auto"/>
        <w:outlineLvl w:val="2"/>
        <w:rPr>
          <w:rFonts w:ascii="Arial" w:eastAsia="Times New Roman" w:hAnsi="Arial" w:cs="Arial"/>
          <w:i/>
          <w:iCs/>
          <w:color w:val="000000"/>
          <w:sz w:val="27"/>
          <w:szCs w:val="27"/>
        </w:rPr>
      </w:pPr>
      <w:r w:rsidRPr="00A62F93">
        <w:rPr>
          <w:rFonts w:ascii="Arial" w:eastAsia="Times New Roman" w:hAnsi="Arial" w:cs="Arial"/>
          <w:i/>
          <w:iCs/>
          <w:color w:val="000000"/>
          <w:sz w:val="27"/>
          <w:szCs w:val="27"/>
        </w:rPr>
        <w:t>Fig. 4</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fldChar w:fldCharType="end"/>
      </w:r>
    </w:p>
    <w:p w:rsidR="00A62F93" w:rsidRPr="00A62F93" w:rsidRDefault="00A62F93" w:rsidP="00A62F93">
      <w:pPr>
        <w:spacing w:after="0" w:line="240" w:lineRule="auto"/>
        <w:rPr>
          <w:rFonts w:ascii="Times New Roman" w:eastAsia="Times New Roman" w:hAnsi="Times New Roman" w:cs="Times New Roman"/>
          <w:color w:val="867C9C"/>
          <w:sz w:val="24"/>
          <w:szCs w:val="24"/>
        </w:rPr>
      </w:pPr>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"javascript:void(0)"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noProof/>
          <w:color w:val="867C9C"/>
          <w:sz w:val="24"/>
          <w:szCs w:val="24"/>
        </w:rPr>
        <mc:AlternateContent>
          <mc:Choice Requires="wps">
            <w:drawing>
              <wp:inline distT="0" distB="0" distL="0" distR="0" wp14:anchorId="73717C2A" wp14:editId="717634A3">
                <wp:extent cx="933450" cy="933450"/>
                <wp:effectExtent l="0" t="0" r="0" b="0"/>
                <wp:docPr id="4" name="AutoShape 8" descr="Fig. 5">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33450" cy="93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4963CC" id="AutoShape 8" o:spid="_x0000_s1026" alt="Fig. 5" href="javascript:void(0)" style="width:73.5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" o:button="t" filled="f" stroked="f">
                <v:fill o:detectmouseclick="t"/>
                <o:lock v:ext="edit" aspectratio="t"/>
                <w10:anchorlock/>
              </v:rect>
            </w:pict>
          </mc:Fallback>
        </mc:AlternateContent>
      </w:r>
    </w:p>
    <w:p w:rsidR="00A62F93" w:rsidRPr="00A62F93" w:rsidRDefault="00A62F93" w:rsidP="00A62F93">
      <w:pPr>
        <w:spacing w:before="100" w:beforeAutospacing="1" w:after="100" w:afterAutospacing="1" w:line="240" w:lineRule="auto"/>
        <w:outlineLvl w:val="2"/>
        <w:rPr>
          <w:rFonts w:ascii="Arial" w:eastAsia="Times New Roman" w:hAnsi="Arial" w:cs="Arial"/>
          <w:i/>
          <w:iCs/>
          <w:color w:val="000000"/>
          <w:sz w:val="27"/>
          <w:szCs w:val="27"/>
        </w:rPr>
      </w:pPr>
      <w:r w:rsidRPr="00A62F93">
        <w:rPr>
          <w:rFonts w:ascii="Arial" w:eastAsia="Times New Roman" w:hAnsi="Arial" w:cs="Arial"/>
          <w:i/>
          <w:iCs/>
          <w:color w:val="000000"/>
          <w:sz w:val="27"/>
          <w:szCs w:val="27"/>
        </w:rPr>
        <w:t>Fig. 5</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fldChar w:fldCharType="end"/>
      </w:r>
    </w:p>
    <w:p w:rsidR="00A62F93" w:rsidRPr="00A62F93" w:rsidRDefault="00A62F93" w:rsidP="00A62F93">
      <w:pPr>
        <w:spacing w:after="0" w:line="240" w:lineRule="auto"/>
        <w:rPr>
          <w:rFonts w:ascii="Times New Roman" w:eastAsia="Times New Roman" w:hAnsi="Times New Roman" w:cs="Times New Roman"/>
          <w:sz w:val="24"/>
          <w:szCs w:val="24"/>
        </w:rPr>
      </w:pPr>
      <w:hyperlink r:id="rId27" w:history="1">
        <w:r w:rsidRPr="00A62F93">
          <w:rPr>
            <w:rFonts w:ascii="Times New Roman" w:eastAsia="Times New Roman" w:hAnsi="Times New Roman" w:cs="Times New Roman"/>
            <w:color w:val="867C9C"/>
            <w:sz w:val="24"/>
            <w:szCs w:val="24"/>
            <w:u w:val="single"/>
          </w:rPr>
          <w:t>Back to Top</w:t>
        </w:r>
      </w:hyperlink>
      <w:r w:rsidRPr="00A62F93">
        <w:rPr>
          <w:rFonts w:ascii="Times New Roman" w:eastAsia="Times New Roman" w:hAnsi="Times New Roman" w:cs="Times New Roman"/>
          <w:sz w:val="24"/>
          <w:szCs w:val="24"/>
        </w:rPr>
        <w:t> | </w:t>
      </w:r>
      <w:hyperlink r:id="rId28" w:history="1">
        <w:r w:rsidRPr="00A62F93">
          <w:rPr>
            <w:rFonts w:ascii="Times New Roman" w:eastAsia="Times New Roman" w:hAnsi="Times New Roman" w:cs="Times New Roman"/>
            <w:color w:val="867C9C"/>
            <w:sz w:val="24"/>
            <w:szCs w:val="24"/>
            <w:u w:val="single"/>
          </w:rPr>
          <w:t>Article Outline</w:t>
        </w:r>
      </w:hyperlink>
    </w:p>
    <w:p w:rsidR="00A62F93" w:rsidRPr="00A62F93" w:rsidRDefault="00A62F93" w:rsidP="00A62F93">
      <w:pPr>
        <w:spacing w:before="100" w:beforeAutospacing="1" w:after="0" w:line="240" w:lineRule="auto"/>
        <w:outlineLvl w:val="1"/>
        <w:rPr>
          <w:rFonts w:ascii="Arial" w:eastAsia="Times New Roman" w:hAnsi="Arial" w:cs="Arial"/>
          <w:b/>
          <w:bCs/>
          <w:color w:val="3B3030"/>
          <w:sz w:val="36"/>
          <w:szCs w:val="36"/>
        </w:rPr>
      </w:pPr>
      <w:r w:rsidRPr="00A62F93">
        <w:rPr>
          <w:rFonts w:ascii="Arial" w:eastAsia="Times New Roman" w:hAnsi="Arial" w:cs="Arial"/>
          <w:b/>
          <w:bCs/>
          <w:color w:val="3B3030"/>
          <w:sz w:val="36"/>
          <w:szCs w:val="36"/>
        </w:rPr>
        <w:t>STATISTICAL ANALYSIS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Descriptive statistics were generated for all demographic and surgical procedure-related and postoperative outcome variables. For outcomes other than length of stay, the number of breast reconstructions was used for analysis. Both univariate and multivariable mixed-effects logistic regression models, adjusting for nesting effect of multiple breast reconstructions within the same patient, were performed to identify risk factors associated with each complication outcome (rippling, flap necrosis, infection, implant loss, and capsular contracture) separately. Because of the small sample size, only variables with a significant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&lt; 0.05 in the univariate analysis were entered in the multivariable regression models for further analysis. A 2-tailed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-value of less than 0.05 was considered significant. All statistical analyses were performed using SAS 9.4 statistical software (SAS Inc., Cary, N.C.).</w:t>
      </w:r>
    </w:p>
    <w:p w:rsidR="00A62F93" w:rsidRPr="00A62F93" w:rsidRDefault="00A62F93" w:rsidP="00A62F93">
      <w:pPr>
        <w:spacing w:after="0" w:line="240" w:lineRule="auto"/>
        <w:rPr>
          <w:rFonts w:ascii="Times New Roman" w:eastAsia="Times New Roman" w:hAnsi="Times New Roman" w:cs="Times New Roman"/>
          <w:sz w:val="24"/>
          <w:szCs w:val="24"/>
        </w:rPr>
      </w:pPr>
      <w:hyperlink r:id="rId29" w:history="1">
        <w:r w:rsidRPr="00A62F93">
          <w:rPr>
            <w:rFonts w:ascii="Times New Roman" w:eastAsia="Times New Roman" w:hAnsi="Times New Roman" w:cs="Times New Roman"/>
            <w:color w:val="867C9C"/>
            <w:sz w:val="24"/>
            <w:szCs w:val="24"/>
            <w:u w:val="single"/>
          </w:rPr>
          <w:t>Back to Top</w:t>
        </w:r>
      </w:hyperlink>
      <w:r w:rsidRPr="00A62F93">
        <w:rPr>
          <w:rFonts w:ascii="Times New Roman" w:eastAsia="Times New Roman" w:hAnsi="Times New Roman" w:cs="Times New Roman"/>
          <w:sz w:val="24"/>
          <w:szCs w:val="24"/>
        </w:rPr>
        <w:t> | </w:t>
      </w:r>
      <w:hyperlink r:id="rId30" w:history="1">
        <w:r w:rsidRPr="00A62F93">
          <w:rPr>
            <w:rFonts w:ascii="Times New Roman" w:eastAsia="Times New Roman" w:hAnsi="Times New Roman" w:cs="Times New Roman"/>
            <w:color w:val="867C9C"/>
            <w:sz w:val="24"/>
            <w:szCs w:val="24"/>
            <w:u w:val="single"/>
          </w:rPr>
          <w:t>Article Outline</w:t>
        </w:r>
      </w:hyperlink>
    </w:p>
    <w:p w:rsidR="00A62F93" w:rsidRPr="00A62F93" w:rsidRDefault="00A62F93" w:rsidP="00A62F93">
      <w:pPr>
        <w:spacing w:before="100" w:beforeAutospacing="1" w:after="0" w:line="240" w:lineRule="auto"/>
        <w:outlineLvl w:val="1"/>
        <w:rPr>
          <w:rFonts w:ascii="Arial" w:eastAsia="Times New Roman" w:hAnsi="Arial" w:cs="Arial"/>
          <w:b/>
          <w:bCs/>
          <w:color w:val="3B3030"/>
          <w:sz w:val="36"/>
          <w:szCs w:val="36"/>
        </w:rPr>
      </w:pPr>
      <w:r w:rsidRPr="00A62F93">
        <w:rPr>
          <w:rFonts w:ascii="Arial" w:eastAsia="Times New Roman" w:hAnsi="Arial" w:cs="Arial"/>
          <w:b/>
          <w:bCs/>
          <w:color w:val="3B3030"/>
          <w:sz w:val="36"/>
          <w:szCs w:val="36"/>
        </w:rPr>
        <w:t>RESULTS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A total of 45 women had 79 direct-to-implant reconstructions, which are included in this analysis. Thirty-four patients (75.6%) had bilateral reconstructions and the remaining 11 (24.4%) had unilateral procedures. Patient characteristics are summarized in </w:t>
      </w:r>
      <w:hyperlink r:id="rId31" w:history="1">
        <w:r w:rsidRPr="00A62F93">
          <w:rPr>
            <w:rFonts w:ascii="Times New Roman" w:eastAsia="Times New Roman" w:hAnsi="Times New Roman" w:cs="Times New Roman"/>
            <w:color w:val="867C9C"/>
            <w:sz w:val="24"/>
            <w:szCs w:val="24"/>
            <w:u w:val="single"/>
          </w:rPr>
          <w:t>Table 1</w:t>
        </w:r>
      </w:hyperlink>
      <w:r w:rsidRPr="00A62F93">
        <w:rPr>
          <w:rFonts w:ascii="Times New Roman" w:eastAsia="Times New Roman" w:hAnsi="Times New Roman" w:cs="Times New Roman"/>
          <w:color w:val="333333"/>
          <w:sz w:val="24"/>
          <w:szCs w:val="24"/>
        </w:rPr>
        <w:t>. Patients’ mean age was 46.8 ± 9.6 years and mean body mass index (BMI) was 24.3 ± 5.4 kg/m</w:t>
      </w:r>
      <w:r w:rsidRPr="00A62F93">
        <w:rPr>
          <w:rFonts w:ascii="Times New Roman" w:eastAsia="Times New Roman" w:hAnsi="Times New Roman" w:cs="Times New Roman"/>
          <w:color w:val="333333"/>
          <w:sz w:val="16"/>
          <w:szCs w:val="16"/>
          <w:vertAlign w:val="superscript"/>
        </w:rPr>
        <w:t>2</w:t>
      </w:r>
      <w:r w:rsidRPr="00A62F93">
        <w:rPr>
          <w:rFonts w:ascii="Times New Roman" w:eastAsia="Times New Roman" w:hAnsi="Times New Roman" w:cs="Times New Roman"/>
          <w:color w:val="333333"/>
          <w:sz w:val="24"/>
          <w:szCs w:val="24"/>
        </w:rPr>
        <w:t>. Approximately 33% were either former or current smokers and 2% had diabetes mellitus. Sixty percent had previous breast surgery with 49% and 76% having prior chemotherapy and radiation exposure, respectively.</w:t>
      </w:r>
    </w:p>
    <w:p w:rsidR="00A62F93" w:rsidRPr="00A62F93" w:rsidRDefault="00A62F93" w:rsidP="00A62F93">
      <w:pPr>
        <w:spacing w:after="0" w:line="240" w:lineRule="auto"/>
        <w:rPr>
          <w:rFonts w:ascii="Times New Roman" w:eastAsia="Times New Roman" w:hAnsi="Times New Roman" w:cs="Times New Roman"/>
          <w:color w:val="867C9C"/>
          <w:sz w:val="24"/>
          <w:szCs w:val="24"/>
        </w:rPr>
      </w:pPr>
      <w:r w:rsidRPr="00A62F93">
        <w:rPr>
          <w:rFonts w:ascii="Times New Roman" w:eastAsia="Times New Roman" w:hAnsi="Times New Roman" w:cs="Times New Roman"/>
          <w:sz w:val="24"/>
          <w:szCs w:val="24"/>
        </w:rPr>
        <w:lastRenderedPageBreak/>
        <w:fldChar w:fldCharType="begin"/>
      </w:r>
      <w:r w:rsidRPr="00A62F93">
        <w:rPr>
          <w:rFonts w:ascii="Times New Roman" w:eastAsia="Times New Roman" w:hAnsi="Times New Roman" w:cs="Times New Roman"/>
          <w:sz w:val="24"/>
          <w:szCs w:val="24"/>
        </w:rPr>
        <w:instrText xml:space="preserve"> HYPERLINK "javascript:void(0)"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noProof/>
          <w:color w:val="867C9C"/>
          <w:sz w:val="24"/>
          <w:szCs w:val="24"/>
        </w:rPr>
        <mc:AlternateContent>
          <mc:Choice Requires="wps">
            <w:drawing>
              <wp:inline distT="0" distB="0" distL="0" distR="0" wp14:anchorId="63B54626" wp14:editId="3964C93C">
                <wp:extent cx="304800" cy="304800"/>
                <wp:effectExtent l="0" t="0" r="0" b="0"/>
                <wp:docPr id="3" name="AutoShape 9" descr="Table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E655F5" id="AutoShape 9" o:spid="_x0000_s1026" alt="Table 1"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" o:button="t" filled="f" stroked="f">
                <v:fill o:detectmouseclick="t"/>
                <o:lock v:ext="edit" aspectratio="t"/>
                <w10:anchorlock/>
              </v:rect>
            </w:pict>
          </mc:Fallback>
        </mc:AlternateContent>
      </w:r>
    </w:p>
    <w:p w:rsidR="00A62F93" w:rsidRPr="00A62F93" w:rsidRDefault="00A62F93" w:rsidP="00A62F93">
      <w:pPr>
        <w:spacing w:before="100" w:beforeAutospacing="1" w:after="100" w:afterAutospacing="1" w:line="240" w:lineRule="auto"/>
        <w:outlineLvl w:val="2"/>
        <w:rPr>
          <w:rFonts w:ascii="Arial" w:eastAsia="Times New Roman" w:hAnsi="Arial" w:cs="Arial"/>
          <w:i/>
          <w:iCs/>
          <w:color w:val="000000"/>
          <w:sz w:val="27"/>
          <w:szCs w:val="27"/>
        </w:rPr>
      </w:pPr>
      <w:r w:rsidRPr="00A62F93">
        <w:rPr>
          <w:rFonts w:ascii="Arial" w:eastAsia="Times New Roman" w:hAnsi="Arial" w:cs="Arial"/>
          <w:i/>
          <w:iCs/>
          <w:color w:val="000000"/>
          <w:sz w:val="27"/>
          <w:szCs w:val="27"/>
        </w:rPr>
        <w:t>Table 1</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fldChar w:fldCharType="end"/>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Operative time averaged 155 minutes and patients spent less than a day on average in the hospital. Median follow-up was 22 months after procedure. Postoperative complications, presented in </w:t>
      </w:r>
      <w:hyperlink r:id="rId32" w:history="1">
        <w:r w:rsidRPr="00A62F93">
          <w:rPr>
            <w:rFonts w:ascii="Times New Roman" w:eastAsia="Times New Roman" w:hAnsi="Times New Roman" w:cs="Times New Roman"/>
            <w:color w:val="867C9C"/>
            <w:sz w:val="24"/>
            <w:szCs w:val="24"/>
            <w:u w:val="single"/>
          </w:rPr>
          <w:t>Table 2</w:t>
        </w:r>
      </w:hyperlink>
      <w:r w:rsidRPr="00A62F93">
        <w:rPr>
          <w:rFonts w:ascii="Times New Roman" w:eastAsia="Times New Roman" w:hAnsi="Times New Roman" w:cs="Times New Roman"/>
          <w:color w:val="333333"/>
          <w:sz w:val="24"/>
          <w:szCs w:val="24"/>
        </w:rPr>
        <w:t xml:space="preserve">, were most commonly rippling (35%) and flap necrosis (28%), seroma (15%), contracture (10%), and infection (10%). Infection was defined by the presence of cellulitis, purulent drainage, and/or elevated white blood cell count. Flap necrosis encompassed any area requiring debridement. Complications were managed conservatively in most cases; however, in 14 breast reconstructions (17.7%), postoperative implant loss was unavoidable: 11 </w:t>
      </w:r>
      <w:proofErr w:type="gramStart"/>
      <w:r w:rsidRPr="00A62F93">
        <w:rPr>
          <w:rFonts w:ascii="Times New Roman" w:eastAsia="Times New Roman" w:hAnsi="Times New Roman" w:cs="Times New Roman"/>
          <w:color w:val="333333"/>
          <w:sz w:val="24"/>
          <w:szCs w:val="24"/>
        </w:rPr>
        <w:t>due</w:t>
      </w:r>
      <w:proofErr w:type="gramEnd"/>
      <w:r w:rsidRPr="00A62F93">
        <w:rPr>
          <w:rFonts w:ascii="Times New Roman" w:eastAsia="Times New Roman" w:hAnsi="Times New Roman" w:cs="Times New Roman"/>
          <w:color w:val="333333"/>
          <w:sz w:val="24"/>
          <w:szCs w:val="24"/>
        </w:rPr>
        <w:t xml:space="preserve"> to tissue necrosis (13.9%) and 3 (3.8%) due to infection.</w:t>
      </w:r>
    </w:p>
    <w:p w:rsidR="00A62F93" w:rsidRPr="00A62F93" w:rsidRDefault="00A62F93" w:rsidP="00A62F93">
      <w:pPr>
        <w:spacing w:after="0" w:line="240" w:lineRule="auto"/>
        <w:rPr>
          <w:rFonts w:ascii="Times New Roman" w:eastAsia="Times New Roman" w:hAnsi="Times New Roman" w:cs="Times New Roman"/>
          <w:color w:val="867C9C"/>
          <w:sz w:val="24"/>
          <w:szCs w:val="24"/>
        </w:rPr>
      </w:pPr>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"javascript:void(0)"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noProof/>
          <w:color w:val="867C9C"/>
          <w:sz w:val="24"/>
          <w:szCs w:val="24"/>
        </w:rPr>
        <mc:AlternateContent>
          <mc:Choice Requires="wps">
            <w:drawing>
              <wp:inline distT="0" distB="0" distL="0" distR="0" wp14:anchorId="3C51196A" wp14:editId="0521F3B7">
                <wp:extent cx="304800" cy="304800"/>
                <wp:effectExtent l="0" t="0" r="0" b="0"/>
                <wp:docPr id="2" name="AutoShape 10" descr="Table 2">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1ED703" id="AutoShape 10" o:spid="_x0000_s1026" alt="Table 2"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" o:button="t" filled="f" stroked="f">
                <v:fill o:detectmouseclick="t"/>
                <o:lock v:ext="edit" aspectratio="t"/>
                <w10:anchorlock/>
              </v:rect>
            </w:pict>
          </mc:Fallback>
        </mc:AlternateContent>
      </w:r>
    </w:p>
    <w:p w:rsidR="00A62F93" w:rsidRPr="00A62F93" w:rsidRDefault="00A62F93" w:rsidP="00A62F93">
      <w:pPr>
        <w:spacing w:before="100" w:beforeAutospacing="1" w:after="100" w:afterAutospacing="1" w:line="240" w:lineRule="auto"/>
        <w:outlineLvl w:val="2"/>
        <w:rPr>
          <w:rFonts w:ascii="Arial" w:eastAsia="Times New Roman" w:hAnsi="Arial" w:cs="Arial"/>
          <w:i/>
          <w:iCs/>
          <w:color w:val="000000"/>
          <w:sz w:val="27"/>
          <w:szCs w:val="27"/>
        </w:rPr>
      </w:pPr>
      <w:r w:rsidRPr="00A62F93">
        <w:rPr>
          <w:rFonts w:ascii="Arial" w:eastAsia="Times New Roman" w:hAnsi="Arial" w:cs="Arial"/>
          <w:i/>
          <w:iCs/>
          <w:color w:val="000000"/>
          <w:sz w:val="27"/>
          <w:szCs w:val="27"/>
        </w:rPr>
        <w:t>Table 2</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fldChar w:fldCharType="end"/>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In the univariate logistic analysis adjusting for multiple breast constructions nesting within the same patient, shown in </w:t>
      </w:r>
      <w:hyperlink r:id="rId33" w:history="1">
        <w:r w:rsidRPr="00A62F93">
          <w:rPr>
            <w:rFonts w:ascii="Times New Roman" w:eastAsia="Times New Roman" w:hAnsi="Times New Roman" w:cs="Times New Roman"/>
            <w:color w:val="867C9C"/>
            <w:sz w:val="24"/>
            <w:szCs w:val="24"/>
            <w:u w:val="single"/>
          </w:rPr>
          <w:t>Table 3</w:t>
        </w:r>
      </w:hyperlink>
      <w:r w:rsidRPr="00A62F93">
        <w:rPr>
          <w:rFonts w:ascii="Times New Roman" w:eastAsia="Times New Roman" w:hAnsi="Times New Roman" w:cs="Times New Roman"/>
          <w:color w:val="333333"/>
          <w:sz w:val="24"/>
          <w:szCs w:val="24"/>
        </w:rPr>
        <w:t>, higher BMI (OR = 1.11,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0.037) and smoking (OR = 5.16,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0.012) were associated with higher risk of postoperative seroma. Patients who were smokers (OR = 6.35,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0.001) and had previous breast surgery (OR = 13.4,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0.004) and radiation (OR = 5.11,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0.077) were also more likely to have postoperative flap necrosis. Older patients (OR = 1.07,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0.033) and smokers (OR = 4.89,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0.010) were at greater risk of implant loss. Finally, smoking (OR = 1.13,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0.043) was also associated with higher risk of postoperative capsular contracture. In the multivariable analysis, smoking remained an independent risk factor for seroma (OR = 4.07,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0.036), flap necrosis (OR = 4.23,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0.031), and implant loss (OR = 5.36, 0.009), whereas older age was also associated with higher risk of postoperative implant loss (OR = 1.06,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0.044).</w:t>
      </w:r>
    </w:p>
    <w:p w:rsidR="00A62F93" w:rsidRPr="00A62F93" w:rsidRDefault="00A62F93" w:rsidP="00A62F93">
      <w:pPr>
        <w:spacing w:after="0" w:line="240" w:lineRule="auto"/>
        <w:rPr>
          <w:rFonts w:ascii="Times New Roman" w:eastAsia="Times New Roman" w:hAnsi="Times New Roman" w:cs="Times New Roman"/>
          <w:color w:val="867C9C"/>
          <w:sz w:val="24"/>
          <w:szCs w:val="24"/>
        </w:rPr>
      </w:pPr>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"javascript:void(0)"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noProof/>
          <w:color w:val="867C9C"/>
          <w:sz w:val="24"/>
          <w:szCs w:val="24"/>
        </w:rPr>
        <mc:AlternateContent>
          <mc:Choice Requires="wps">
            <w:drawing>
              <wp:inline distT="0" distB="0" distL="0" distR="0" wp14:anchorId="0E48C9C8" wp14:editId="4D61499C">
                <wp:extent cx="304800" cy="304800"/>
                <wp:effectExtent l="0" t="0" r="0" b="0"/>
                <wp:docPr id="1" name="AutoShape 11" descr="Table 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0F31BC" id="AutoShape 11" o:spid="_x0000_s1026" alt="Table 3"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" o:button="t" filled="f" stroked="f">
                <v:fill o:detectmouseclick="t"/>
                <o:lock v:ext="edit" aspectratio="t"/>
                <w10:anchorlock/>
              </v:rect>
            </w:pict>
          </mc:Fallback>
        </mc:AlternateContent>
      </w:r>
    </w:p>
    <w:p w:rsidR="00A62F93" w:rsidRPr="00A62F93" w:rsidRDefault="00A62F93" w:rsidP="00A62F93">
      <w:pPr>
        <w:spacing w:before="100" w:beforeAutospacing="1" w:after="100" w:afterAutospacing="1" w:line="240" w:lineRule="auto"/>
        <w:outlineLvl w:val="2"/>
        <w:rPr>
          <w:rFonts w:ascii="Arial" w:eastAsia="Times New Roman" w:hAnsi="Arial" w:cs="Arial"/>
          <w:i/>
          <w:iCs/>
          <w:color w:val="000000"/>
          <w:sz w:val="27"/>
          <w:szCs w:val="27"/>
        </w:rPr>
      </w:pPr>
      <w:r w:rsidRPr="00A62F93">
        <w:rPr>
          <w:rFonts w:ascii="Arial" w:eastAsia="Times New Roman" w:hAnsi="Arial" w:cs="Arial"/>
          <w:i/>
          <w:iCs/>
          <w:color w:val="000000"/>
          <w:sz w:val="27"/>
          <w:szCs w:val="27"/>
        </w:rPr>
        <w:t>Table 3</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fldChar w:fldCharType="end"/>
      </w:r>
    </w:p>
    <w:p w:rsidR="00A62F93" w:rsidRPr="00A62F93" w:rsidRDefault="00A62F93" w:rsidP="00A62F93">
      <w:pPr>
        <w:spacing w:after="0" w:line="240" w:lineRule="auto"/>
        <w:rPr>
          <w:rFonts w:ascii="Times New Roman" w:eastAsia="Times New Roman" w:hAnsi="Times New Roman" w:cs="Times New Roman"/>
          <w:sz w:val="24"/>
          <w:szCs w:val="24"/>
        </w:rPr>
      </w:pPr>
      <w:hyperlink r:id="rId34" w:history="1">
        <w:r w:rsidRPr="00A62F93">
          <w:rPr>
            <w:rFonts w:ascii="Times New Roman" w:eastAsia="Times New Roman" w:hAnsi="Times New Roman" w:cs="Times New Roman"/>
            <w:color w:val="867C9C"/>
            <w:sz w:val="24"/>
            <w:szCs w:val="24"/>
            <w:u w:val="single"/>
          </w:rPr>
          <w:t>Back to Top</w:t>
        </w:r>
      </w:hyperlink>
      <w:r w:rsidRPr="00A62F93">
        <w:rPr>
          <w:rFonts w:ascii="Times New Roman" w:eastAsia="Times New Roman" w:hAnsi="Times New Roman" w:cs="Times New Roman"/>
          <w:sz w:val="24"/>
          <w:szCs w:val="24"/>
        </w:rPr>
        <w:t> | </w:t>
      </w:r>
      <w:hyperlink r:id="rId35" w:history="1">
        <w:r w:rsidRPr="00A62F93">
          <w:rPr>
            <w:rFonts w:ascii="Times New Roman" w:eastAsia="Times New Roman" w:hAnsi="Times New Roman" w:cs="Times New Roman"/>
            <w:color w:val="867C9C"/>
            <w:sz w:val="24"/>
            <w:szCs w:val="24"/>
            <w:u w:val="single"/>
          </w:rPr>
          <w:t>Article Outline</w:t>
        </w:r>
      </w:hyperlink>
    </w:p>
    <w:p w:rsidR="00A62F93" w:rsidRPr="00A62F93" w:rsidRDefault="00A62F93" w:rsidP="00A62F93">
      <w:pPr>
        <w:spacing w:before="100" w:beforeAutospacing="1" w:after="0" w:line="240" w:lineRule="auto"/>
        <w:outlineLvl w:val="1"/>
        <w:rPr>
          <w:rFonts w:ascii="Arial" w:eastAsia="Times New Roman" w:hAnsi="Arial" w:cs="Arial"/>
          <w:b/>
          <w:bCs/>
          <w:color w:val="3B3030"/>
          <w:sz w:val="36"/>
          <w:szCs w:val="36"/>
        </w:rPr>
      </w:pPr>
      <w:r w:rsidRPr="00A62F93">
        <w:rPr>
          <w:rFonts w:ascii="Arial" w:eastAsia="Times New Roman" w:hAnsi="Arial" w:cs="Arial"/>
          <w:b/>
          <w:bCs/>
          <w:color w:val="3B3030"/>
          <w:sz w:val="36"/>
          <w:szCs w:val="36"/>
        </w:rPr>
        <w:t>DISCUSSION</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In 2014, the ASPS reported over 100,000 breast reconstructions in the United States with 83,000 incorporating an implant.</w:t>
      </w:r>
      <w:hyperlink r:id="rId36" w:anchor="R3-5" w:history="1">
        <w:r w:rsidRPr="00A62F93">
          <w:rPr>
            <w:rFonts w:ascii="Times New Roman" w:eastAsia="Times New Roman" w:hAnsi="Times New Roman" w:cs="Times New Roman"/>
            <w:color w:val="867C9C"/>
            <w:sz w:val="16"/>
            <w:szCs w:val="16"/>
            <w:u w:val="single"/>
            <w:vertAlign w:val="superscript"/>
          </w:rPr>
          <w:t>3</w:t>
        </w:r>
      </w:hyperlink>
      <w:r w:rsidRPr="00A62F93">
        <w:rPr>
          <w:rFonts w:ascii="Times New Roman" w:eastAsia="Times New Roman" w:hAnsi="Times New Roman" w:cs="Times New Roman"/>
          <w:color w:val="333333"/>
          <w:sz w:val="24"/>
          <w:szCs w:val="24"/>
        </w:rPr>
        <w:t xml:space="preserve"> Generally speaking, most plastic surgeons have concerns with placing the implant above the muscle because of thin mastectomy flaps and insufficient subcutaneous tissue remaining after a mastectomy. The potential risk of postoperative rippling, wound complications, implant erosion and extrusion, infection, and capsular contracture is felt to be </w:t>
      </w:r>
      <w:r w:rsidRPr="00A62F93">
        <w:rPr>
          <w:rFonts w:ascii="Times New Roman" w:eastAsia="Times New Roman" w:hAnsi="Times New Roman" w:cs="Times New Roman"/>
          <w:color w:val="333333"/>
          <w:sz w:val="24"/>
          <w:szCs w:val="24"/>
        </w:rPr>
        <w:lastRenderedPageBreak/>
        <w:t xml:space="preserve">higher than occurs with submuscular placement. Intuitively, the risk of complications increases with extended time in the OR; thus, minimizing the surgical time for breast reconstruction is desirable. Using our technique, we eliminated a second surgery and reduced our complete mastectomy/reconstruction OR time to 155 minutes, with the average patient hospital stay being 0.6 days. Now, </w:t>
      </w:r>
      <w:proofErr w:type="gramStart"/>
      <w:r w:rsidRPr="00A62F93">
        <w:rPr>
          <w:rFonts w:ascii="Times New Roman" w:eastAsia="Times New Roman" w:hAnsi="Times New Roman" w:cs="Times New Roman"/>
          <w:color w:val="333333"/>
          <w:sz w:val="24"/>
          <w:szCs w:val="24"/>
        </w:rPr>
        <w:t>the majority of</w:t>
      </w:r>
      <w:proofErr w:type="gramEnd"/>
      <w:r w:rsidRPr="00A62F93">
        <w:rPr>
          <w:rFonts w:ascii="Times New Roman" w:eastAsia="Times New Roman" w:hAnsi="Times New Roman" w:cs="Times New Roman"/>
          <w:color w:val="333333"/>
          <w:sz w:val="24"/>
          <w:szCs w:val="24"/>
        </w:rPr>
        <w:t xml:space="preserve"> patients are released the same day without significant narcotics.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Any quality breast reconstruction begins with a quality mastectomy. A close working relationship with the treatment team and a specific understanding by the mastectomy surgeon of the reconstructive plan and nuances are essential. Our patients are typically treated by 1 of 2 general surgeons who have become most familiar with this protocol, although over the course of this series 6 general surgeons performed the mastectomies. Variability among mastectomy surgeons may have played a role in our complications.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 xml:space="preserve">As adequate skin flaps with intact subcutaneous fat are critical for the success of the above-the-muscle technique, assessment of the mastectomy before proceeding with reconstruction is imperative. We believe real-time intraoperative tissue perfusion analysis is an extremely valuable tool. Our “Go/No Go” decision point is directly related to the amount of predicted nonviable tissue: if less than 10% of the flap has limited perfusion, it can likely be debrided, closed, and the direct-to-implant route maintained. Mastectomy flaps with 10% to 30% viability are more likely to need a tissue expander as opposed to an implant. Initially, we placed these expanders in the usual </w:t>
      </w:r>
      <w:proofErr w:type="spellStart"/>
      <w:r w:rsidRPr="00A62F93">
        <w:rPr>
          <w:rFonts w:ascii="Times New Roman" w:eastAsia="Times New Roman" w:hAnsi="Times New Roman" w:cs="Times New Roman"/>
          <w:color w:val="333333"/>
          <w:sz w:val="24"/>
          <w:szCs w:val="24"/>
        </w:rPr>
        <w:t>subpectoral</w:t>
      </w:r>
      <w:proofErr w:type="spellEnd"/>
      <w:r w:rsidRPr="00A62F93">
        <w:rPr>
          <w:rFonts w:ascii="Times New Roman" w:eastAsia="Times New Roman" w:hAnsi="Times New Roman" w:cs="Times New Roman"/>
          <w:color w:val="333333"/>
          <w:sz w:val="24"/>
          <w:szCs w:val="24"/>
        </w:rPr>
        <w:t xml:space="preserve"> plane with the ADM defining the inferior pole. Currently, we position the expanders in the subcutaneous pocket without disruption of the pectoralis musculature. If greater than 30% of the mastectomy flap is predicted to have limited to no perfusion, the direct-to-implant reconstruction should be abandoned in favor of alternative methods such as staged expander/implant or autologous tissue reconstructions, or in some cases depending on clinical judgment and patient preference, no reconstruction. In the absence of a SPY system, we recommend plastic surgeons rely on their clinical judgment when appraising tissue flap viability. Capillary refill, thickness of flaps, presence of subcutaneous tissue, and temperature to touch are several variables that may be evaluated when considering whether to proceed with direct-to-implant reconstruction.</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Complications in this series were managed conservatively in most cases with implant loss occurring in 14 breasts. Unquestionably, comorbid conditions factor heavily into the complications and success of any procedure, particularly those depending on flap perfusion and viability. Smoking, diabetes mellitus, advanced age, and high BMI have all been shown to affect flap viability.</w:t>
      </w:r>
      <w:hyperlink r:id="rId37" w:anchor="R7-5" w:history="1">
        <w:r w:rsidRPr="00A62F93">
          <w:rPr>
            <w:rFonts w:ascii="Times New Roman" w:eastAsia="Times New Roman" w:hAnsi="Times New Roman" w:cs="Times New Roman"/>
            <w:color w:val="867C9C"/>
            <w:sz w:val="16"/>
            <w:szCs w:val="16"/>
            <w:u w:val="single"/>
            <w:vertAlign w:val="superscript"/>
          </w:rPr>
          <w:t>7–9</w:t>
        </w:r>
      </w:hyperlink>
      <w:r w:rsidRPr="00A62F93">
        <w:rPr>
          <w:rFonts w:ascii="Times New Roman" w:eastAsia="Times New Roman" w:hAnsi="Times New Roman" w:cs="Times New Roman"/>
          <w:color w:val="333333"/>
          <w:sz w:val="24"/>
          <w:szCs w:val="24"/>
        </w:rPr>
        <w:t> In this series, we found a similar range of major complications that one would expect after a standard ADM/expander/implant submuscular placement.</w:t>
      </w:r>
      <w:hyperlink r:id="rId38" w:anchor="R10-5" w:history="1">
        <w:r w:rsidRPr="00A62F93">
          <w:rPr>
            <w:rFonts w:ascii="Times New Roman" w:eastAsia="Times New Roman" w:hAnsi="Times New Roman" w:cs="Times New Roman"/>
            <w:color w:val="867C9C"/>
            <w:sz w:val="16"/>
            <w:szCs w:val="16"/>
            <w:u w:val="single"/>
            <w:vertAlign w:val="superscript"/>
          </w:rPr>
          <w:t>10–15</w:t>
        </w:r>
      </w:hyperlink>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Twenty-two breasts had some degree of flap necrosis, of which 11 (13.9%) can be categorized as major, resulting in implant loss. Certainly, some may have been related to our learning curve, particularly as early in the series we did not objectively measure tissue perfusion. Although we were not alarmed with our rate of implant loss, a review of the literature was performed to assess skin-sparing mastectomy (SSM) flap complications and implant loss rates, confirming our outcomes were similar to those seen by others.</w:t>
      </w:r>
      <w:hyperlink r:id="rId39" w:anchor="R7-5" w:history="1">
        <w:r w:rsidRPr="00A62F93">
          <w:rPr>
            <w:rFonts w:ascii="Times New Roman" w:eastAsia="Times New Roman" w:hAnsi="Times New Roman" w:cs="Times New Roman"/>
            <w:color w:val="867C9C"/>
            <w:sz w:val="16"/>
            <w:szCs w:val="16"/>
            <w:u w:val="single"/>
            <w:vertAlign w:val="superscript"/>
          </w:rPr>
          <w:t>7</w:t>
        </w:r>
      </w:hyperlink>
      <w:r w:rsidRPr="00A62F93">
        <w:rPr>
          <w:rFonts w:ascii="Times New Roman" w:eastAsia="Times New Roman" w:hAnsi="Times New Roman" w:cs="Times New Roman"/>
          <w:color w:val="333333"/>
          <w:sz w:val="24"/>
          <w:szCs w:val="24"/>
        </w:rPr>
        <w:t>,</w:t>
      </w:r>
      <w:hyperlink r:id="rId40" w:anchor="R16-5" w:history="1">
        <w:r w:rsidRPr="00A62F93">
          <w:rPr>
            <w:rFonts w:ascii="Times New Roman" w:eastAsia="Times New Roman" w:hAnsi="Times New Roman" w:cs="Times New Roman"/>
            <w:color w:val="867C9C"/>
            <w:sz w:val="16"/>
            <w:szCs w:val="16"/>
            <w:u w:val="single"/>
            <w:vertAlign w:val="superscript"/>
          </w:rPr>
          <w:t>16–19</w:t>
        </w:r>
      </w:hyperlink>
      <w:r w:rsidRPr="00A62F93">
        <w:rPr>
          <w:rFonts w:ascii="Times New Roman" w:eastAsia="Times New Roman" w:hAnsi="Times New Roman" w:cs="Times New Roman"/>
          <w:color w:val="333333"/>
          <w:sz w:val="24"/>
          <w:szCs w:val="24"/>
        </w:rPr>
        <w:t> Garwood et al</w:t>
      </w:r>
      <w:hyperlink r:id="rId41" w:anchor="R16-5" w:history="1">
        <w:r w:rsidRPr="00A62F93">
          <w:rPr>
            <w:rFonts w:ascii="Times New Roman" w:eastAsia="Times New Roman" w:hAnsi="Times New Roman" w:cs="Times New Roman"/>
            <w:color w:val="867C9C"/>
            <w:sz w:val="16"/>
            <w:szCs w:val="16"/>
            <w:u w:val="single"/>
            <w:vertAlign w:val="superscript"/>
          </w:rPr>
          <w:t>16</w:t>
        </w:r>
      </w:hyperlink>
      <w:r w:rsidRPr="00A62F93">
        <w:rPr>
          <w:rFonts w:ascii="Times New Roman" w:eastAsia="Times New Roman" w:hAnsi="Times New Roman" w:cs="Times New Roman"/>
          <w:color w:val="333333"/>
          <w:sz w:val="24"/>
          <w:szCs w:val="24"/>
        </w:rPr>
        <w:t xml:space="preserve"> reported an overall 16.8% rate of implant loss in a series of 170 SSMs, with loss ranging from 31% in an early cohort to 10% in a later group. Similarly, </w:t>
      </w:r>
      <w:proofErr w:type="spellStart"/>
      <w:r w:rsidRPr="00A62F93">
        <w:rPr>
          <w:rFonts w:ascii="Times New Roman" w:eastAsia="Times New Roman" w:hAnsi="Times New Roman" w:cs="Times New Roman"/>
          <w:color w:val="333333"/>
          <w:sz w:val="24"/>
          <w:szCs w:val="24"/>
        </w:rPr>
        <w:t>Hultman</w:t>
      </w:r>
      <w:proofErr w:type="spellEnd"/>
      <w:r w:rsidRPr="00A62F93">
        <w:rPr>
          <w:rFonts w:ascii="Times New Roman" w:eastAsia="Times New Roman" w:hAnsi="Times New Roman" w:cs="Times New Roman"/>
          <w:color w:val="333333"/>
          <w:sz w:val="24"/>
          <w:szCs w:val="24"/>
        </w:rPr>
        <w:t xml:space="preserve"> described flap loss in 24.3% of patients/17% of reconstructions after SSM with immediate reconstruction.</w:t>
      </w:r>
      <w:hyperlink r:id="rId42" w:anchor="R7-5" w:history="1">
        <w:r w:rsidRPr="00A62F93">
          <w:rPr>
            <w:rFonts w:ascii="Times New Roman" w:eastAsia="Times New Roman" w:hAnsi="Times New Roman" w:cs="Times New Roman"/>
            <w:color w:val="867C9C"/>
            <w:sz w:val="16"/>
            <w:szCs w:val="16"/>
            <w:u w:val="single"/>
            <w:vertAlign w:val="superscript"/>
          </w:rPr>
          <w:t>7</w:t>
        </w:r>
      </w:hyperlink>
      <w:r w:rsidRPr="00A62F93">
        <w:rPr>
          <w:rFonts w:ascii="Times New Roman" w:eastAsia="Times New Roman" w:hAnsi="Times New Roman" w:cs="Times New Roman"/>
          <w:color w:val="333333"/>
          <w:sz w:val="24"/>
          <w:szCs w:val="24"/>
        </w:rPr>
        <w:t> Additionally, Chun et al</w:t>
      </w:r>
      <w:hyperlink r:id="rId43" w:anchor="R17-5" w:history="1">
        <w:r w:rsidRPr="00A62F93">
          <w:rPr>
            <w:rFonts w:ascii="Times New Roman" w:eastAsia="Times New Roman" w:hAnsi="Times New Roman" w:cs="Times New Roman"/>
            <w:color w:val="867C9C"/>
            <w:sz w:val="16"/>
            <w:szCs w:val="16"/>
            <w:u w:val="single"/>
            <w:vertAlign w:val="superscript"/>
          </w:rPr>
          <w:t>17</w:t>
        </w:r>
      </w:hyperlink>
      <w:r w:rsidRPr="00A62F93">
        <w:rPr>
          <w:rFonts w:ascii="Times New Roman" w:eastAsia="Times New Roman" w:hAnsi="Times New Roman" w:cs="Times New Roman"/>
          <w:color w:val="333333"/>
          <w:sz w:val="24"/>
          <w:szCs w:val="24"/>
        </w:rPr>
        <w:t xml:space="preserve"> reported an incidence of 11.8% major necrosis complications in </w:t>
      </w:r>
      <w:proofErr w:type="spellStart"/>
      <w:r w:rsidRPr="00A62F93">
        <w:rPr>
          <w:rFonts w:ascii="Times New Roman" w:eastAsia="Times New Roman" w:hAnsi="Times New Roman" w:cs="Times New Roman"/>
          <w:color w:val="333333"/>
          <w:sz w:val="24"/>
          <w:szCs w:val="24"/>
        </w:rPr>
        <w:t>nontumescent</w:t>
      </w:r>
      <w:proofErr w:type="spellEnd"/>
      <w:r w:rsidRPr="00A62F93">
        <w:rPr>
          <w:rFonts w:ascii="Times New Roman" w:eastAsia="Times New Roman" w:hAnsi="Times New Roman" w:cs="Times New Roman"/>
          <w:color w:val="333333"/>
          <w:sz w:val="24"/>
          <w:szCs w:val="24"/>
        </w:rPr>
        <w:t xml:space="preserve"> mastectomy patients. Comparable to our </w:t>
      </w:r>
      <w:r w:rsidRPr="00A62F93">
        <w:rPr>
          <w:rFonts w:ascii="Times New Roman" w:eastAsia="Times New Roman" w:hAnsi="Times New Roman" w:cs="Times New Roman"/>
          <w:color w:val="333333"/>
          <w:sz w:val="24"/>
          <w:szCs w:val="24"/>
        </w:rPr>
        <w:lastRenderedPageBreak/>
        <w:t xml:space="preserve">rate of 3.9% implant loss due to infection, </w:t>
      </w:r>
      <w:proofErr w:type="spellStart"/>
      <w:r w:rsidRPr="00A62F93">
        <w:rPr>
          <w:rFonts w:ascii="Times New Roman" w:eastAsia="Times New Roman" w:hAnsi="Times New Roman" w:cs="Times New Roman"/>
          <w:color w:val="333333"/>
          <w:sz w:val="24"/>
          <w:szCs w:val="24"/>
        </w:rPr>
        <w:t>Reish</w:t>
      </w:r>
      <w:proofErr w:type="spellEnd"/>
      <w:r w:rsidRPr="00A62F93">
        <w:rPr>
          <w:rFonts w:ascii="Times New Roman" w:eastAsia="Times New Roman" w:hAnsi="Times New Roman" w:cs="Times New Roman"/>
          <w:color w:val="333333"/>
          <w:sz w:val="24"/>
          <w:szCs w:val="24"/>
        </w:rPr>
        <w:t xml:space="preserve"> reported an overall explant rate of 3.2% in 1952 immediate implant-based reconstructions, specifically assessing implant salvage in the presence of postoperative infection.</w:t>
      </w:r>
      <w:hyperlink r:id="rId44" w:anchor="R18-5" w:history="1">
        <w:r w:rsidRPr="00A62F93">
          <w:rPr>
            <w:rFonts w:ascii="Times New Roman" w:eastAsia="Times New Roman" w:hAnsi="Times New Roman" w:cs="Times New Roman"/>
            <w:color w:val="867C9C"/>
            <w:sz w:val="16"/>
            <w:szCs w:val="16"/>
            <w:u w:val="single"/>
            <w:vertAlign w:val="superscript"/>
          </w:rPr>
          <w:t>18</w:t>
        </w:r>
      </w:hyperlink>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Predictably, multivariate analysis demonstrated that smokers were more likely to have postoperative flap necrosis. Smoking and age remained significant risk factors in the multivariable analysis. This underscores the importance of patient selection and intraoperative assessment of tissue viability. Even with previous radiation therapy, however, this technique can be performed with acceptable outcomes.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Seroma occurred in 12 breasts (15%); however, only 5 (6%) would be deemed clinically significant using the definition of requiring hospital stay, IV antibiotics, or device explant.</w:t>
      </w:r>
      <w:hyperlink r:id="rId45" w:anchor="R14-5" w:history="1">
        <w:r w:rsidRPr="00A62F93">
          <w:rPr>
            <w:rFonts w:ascii="Times New Roman" w:eastAsia="Times New Roman" w:hAnsi="Times New Roman" w:cs="Times New Roman"/>
            <w:color w:val="867C9C"/>
            <w:sz w:val="16"/>
            <w:szCs w:val="16"/>
            <w:u w:val="single"/>
            <w:vertAlign w:val="superscript"/>
          </w:rPr>
          <w:t>14</w:t>
        </w:r>
      </w:hyperlink>
      <w:r w:rsidRPr="00A62F93">
        <w:rPr>
          <w:rFonts w:ascii="Times New Roman" w:eastAsia="Times New Roman" w:hAnsi="Times New Roman" w:cs="Times New Roman"/>
          <w:color w:val="333333"/>
          <w:sz w:val="24"/>
          <w:szCs w:val="24"/>
        </w:rPr>
        <w:t> One patient received IV antibiotics in the office, and the other 4 occurrences were associated with infection and flap necrosis, which combined necessitated explant. Other seromas were managed conservatively. As published reports suggest a potential increased seroma rate when ADMs are utilized, we typically leave drains in a bit longer, which may mitigate risk. When adjusting for multiple breast constructions within the same patient, higher BMI (OR = 1.11,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0.037) and smoking (OR = 5.56,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0.011) were associated with higher risk of postoperative seroma.</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In our series with mean follow-up of close to 2 years, capsular contracture occurred in 8 breasts (5 patients) (10%), with the majority categorized as Baker II. This is well within the range anticipated with any breast reconstruction. Smoking was the only variable associated with a significantly higher risk of postoperative capsular contracture (OR = 1.12, </w:t>
      </w:r>
      <w:r w:rsidRPr="00A62F93">
        <w:rPr>
          <w:rFonts w:ascii="Times New Roman" w:eastAsia="Times New Roman" w:hAnsi="Times New Roman" w:cs="Times New Roman"/>
          <w:i/>
          <w:iCs/>
          <w:color w:val="333333"/>
          <w:sz w:val="24"/>
          <w:szCs w:val="24"/>
        </w:rPr>
        <w:t>P</w:t>
      </w:r>
      <w:r w:rsidRPr="00A62F93">
        <w:rPr>
          <w:rFonts w:ascii="Times New Roman" w:eastAsia="Times New Roman" w:hAnsi="Times New Roman" w:cs="Times New Roman"/>
          <w:color w:val="333333"/>
          <w:sz w:val="24"/>
          <w:szCs w:val="24"/>
        </w:rPr>
        <w:t> = 0.048).</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We must continuously analyze and refine our surgical technique. Traditionally, an implant or expander is placed in a complete submuscular or partial submuscular plane and the muscle used to improve upper pole cosmesis and decrease implant visibility. Ultimately, the muscle becomes thin and attenuated over time, limiting its advantage. Additionally, disruption of the chest wall musculature not only significantly increases procedural discomfort but contributes to “</w:t>
      </w:r>
      <w:proofErr w:type="spellStart"/>
      <w:r w:rsidRPr="00A62F93">
        <w:rPr>
          <w:rFonts w:ascii="Times New Roman" w:eastAsia="Times New Roman" w:hAnsi="Times New Roman" w:cs="Times New Roman"/>
          <w:color w:val="333333"/>
          <w:sz w:val="24"/>
          <w:szCs w:val="24"/>
        </w:rPr>
        <w:t>hyperanimation</w:t>
      </w:r>
      <w:proofErr w:type="spellEnd"/>
      <w:r w:rsidRPr="00A62F93">
        <w:rPr>
          <w:rFonts w:ascii="Times New Roman" w:eastAsia="Times New Roman" w:hAnsi="Times New Roman" w:cs="Times New Roman"/>
          <w:color w:val="333333"/>
          <w:sz w:val="24"/>
          <w:szCs w:val="24"/>
        </w:rPr>
        <w:t>” of the upper pole of the reconstruction, which can be unsightly.</w:t>
      </w:r>
      <w:hyperlink r:id="rId46" w:anchor="R20-5" w:history="1">
        <w:r w:rsidRPr="00A62F93">
          <w:rPr>
            <w:rFonts w:ascii="Times New Roman" w:eastAsia="Times New Roman" w:hAnsi="Times New Roman" w:cs="Times New Roman"/>
            <w:color w:val="867C9C"/>
            <w:sz w:val="16"/>
            <w:szCs w:val="16"/>
            <w:u w:val="single"/>
            <w:vertAlign w:val="superscript"/>
          </w:rPr>
          <w:t>20</w:t>
        </w:r>
      </w:hyperlink>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Initially, we used a “complete wrap” with two pieces of ADM placed around the anterior and posterior surfaces of the implant. With experience, we found that an anterior wrap using a single ADM piece was preferable. In addition to reducing cost, a free margin for positioning the implant is maintained and the textured posterior of the device is exposed to the chest wall to further secure its position preserving the benefits associated with the ADM. About 50% of these cases were done with the “complete wrap” and the remaining utilized an anterior wrap.</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 xml:space="preserve">In our Midwest-based practice, we select the implant best suited to each patient from a wide range of available shapes and sizes. Initially, cohesive gel implants were chosen; however, we quickly progressed to using an </w:t>
      </w:r>
      <w:proofErr w:type="spellStart"/>
      <w:r w:rsidRPr="00A62F93">
        <w:rPr>
          <w:rFonts w:ascii="Times New Roman" w:eastAsia="Times New Roman" w:hAnsi="Times New Roman" w:cs="Times New Roman"/>
          <w:color w:val="333333"/>
          <w:sz w:val="24"/>
          <w:szCs w:val="24"/>
        </w:rPr>
        <w:t>ultracohesive</w:t>
      </w:r>
      <w:proofErr w:type="spellEnd"/>
      <w:r w:rsidRPr="00A62F93">
        <w:rPr>
          <w:rFonts w:ascii="Times New Roman" w:eastAsia="Times New Roman" w:hAnsi="Times New Roman" w:cs="Times New Roman"/>
          <w:color w:val="333333"/>
          <w:sz w:val="24"/>
          <w:szCs w:val="24"/>
        </w:rPr>
        <w:t xml:space="preserve"> implant with enhanced texturing. These implants maintain their shape and in our experience are associated with decreased incidence of capsular contracture.</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 xml:space="preserve">Patient-reported outcomes scores are not measured routinely, so quantitative analysis of patient satisfaction was not performed. Subjectively, we find patients to be quite satisfied with their aesthetic outcomes. As with other reconstructive methods, fat grafting is a helpful adjunct for perceived small aesthetic defects. In this series, as in all our reconstructions, fat grafting was used in 60% to 70% of patients to address any resultant rippling or upper pole implant visibility, </w:t>
      </w:r>
      <w:r w:rsidRPr="00A62F93">
        <w:rPr>
          <w:rFonts w:ascii="Times New Roman" w:eastAsia="Times New Roman" w:hAnsi="Times New Roman" w:cs="Times New Roman"/>
          <w:color w:val="333333"/>
          <w:sz w:val="24"/>
          <w:szCs w:val="24"/>
        </w:rPr>
        <w:lastRenderedPageBreak/>
        <w:t>particularly in very thin patients. This was usually done in the office under a local anesthetic and has become quite routine.</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Broadly speaking, we do not believe that the major complications in this series are directly related to implant type or size or use of ADM, but more a function of overall patient health and comorbid conditions. That said, to maximize success, we recommend surgeons wishing to incorporate this technique into their practice begin their experience in nonsmokers with small–moderate sized breasts. As a guide, but not a strict criterion, comorbidities are not hard contraindications to this approach, and although a higher BMI may in some cases increase perioperative risk, it also allows for a thicker subcutaneous layer and better vascularized mastectomy flaps, which are critical for a successful outcome. Based on our learning curve and experience to date, perhaps the most ideal patients are those with Grade 1 or 2 ptosis and BMIs of 25 to 35 as they tend to have adequate subcutaneous fat.</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 xml:space="preserve">This technique requires use of an ADM to provide supplemental support to the remaining skin and subcutaneous tissue and minimize rippling and the risk of capsular contracture. There are </w:t>
      </w:r>
      <w:proofErr w:type="gramStart"/>
      <w:r w:rsidRPr="00A62F93">
        <w:rPr>
          <w:rFonts w:ascii="Times New Roman" w:eastAsia="Times New Roman" w:hAnsi="Times New Roman" w:cs="Times New Roman"/>
          <w:color w:val="333333"/>
          <w:sz w:val="24"/>
          <w:szCs w:val="24"/>
        </w:rPr>
        <w:t>a number of</w:t>
      </w:r>
      <w:proofErr w:type="gramEnd"/>
      <w:r w:rsidRPr="00A62F93">
        <w:rPr>
          <w:rFonts w:ascii="Times New Roman" w:eastAsia="Times New Roman" w:hAnsi="Times New Roman" w:cs="Times New Roman"/>
          <w:color w:val="333333"/>
          <w:sz w:val="24"/>
          <w:szCs w:val="24"/>
        </w:rPr>
        <w:t xml:space="preserve"> ADMs available, with the most clinical experience reported with human grafts. Recently, porcine ADM was used in a small series of direct-to-implant nipple-sparing mastectomies using a </w:t>
      </w:r>
      <w:proofErr w:type="spellStart"/>
      <w:r w:rsidRPr="00A62F93">
        <w:rPr>
          <w:rFonts w:ascii="Times New Roman" w:eastAsia="Times New Roman" w:hAnsi="Times New Roman" w:cs="Times New Roman"/>
          <w:color w:val="333333"/>
          <w:sz w:val="24"/>
          <w:szCs w:val="24"/>
        </w:rPr>
        <w:t>prepectoral</w:t>
      </w:r>
      <w:proofErr w:type="spellEnd"/>
      <w:r w:rsidRPr="00A62F93">
        <w:rPr>
          <w:rFonts w:ascii="Times New Roman" w:eastAsia="Times New Roman" w:hAnsi="Times New Roman" w:cs="Times New Roman"/>
          <w:color w:val="333333"/>
          <w:sz w:val="24"/>
          <w:szCs w:val="24"/>
        </w:rPr>
        <w:t xml:space="preserve"> approach.</w:t>
      </w:r>
      <w:hyperlink r:id="rId47" w:anchor="R21-5" w:history="1">
        <w:r w:rsidRPr="00A62F93">
          <w:rPr>
            <w:rFonts w:ascii="Times New Roman" w:eastAsia="Times New Roman" w:hAnsi="Times New Roman" w:cs="Times New Roman"/>
            <w:color w:val="867C9C"/>
            <w:sz w:val="16"/>
            <w:szCs w:val="16"/>
            <w:u w:val="single"/>
            <w:vertAlign w:val="superscript"/>
          </w:rPr>
          <w:t>21</w:t>
        </w:r>
      </w:hyperlink>
      <w:r w:rsidRPr="00A62F93">
        <w:rPr>
          <w:rFonts w:ascii="Times New Roman" w:eastAsia="Times New Roman" w:hAnsi="Times New Roman" w:cs="Times New Roman"/>
          <w:color w:val="333333"/>
          <w:sz w:val="24"/>
          <w:szCs w:val="24"/>
        </w:rPr>
        <w:t xml:space="preserve"> In our series, two human ADMs were used to wrap the implants: </w:t>
      </w:r>
      <w:proofErr w:type="spellStart"/>
      <w:r w:rsidRPr="00A62F93">
        <w:rPr>
          <w:rFonts w:ascii="Times New Roman" w:eastAsia="Times New Roman" w:hAnsi="Times New Roman" w:cs="Times New Roman"/>
          <w:color w:val="333333"/>
          <w:sz w:val="24"/>
          <w:szCs w:val="24"/>
        </w:rPr>
        <w:t>AlloDerm</w:t>
      </w:r>
      <w:proofErr w:type="spellEnd"/>
      <w:r w:rsidRPr="00A62F93">
        <w:rPr>
          <w:rFonts w:ascii="Times New Roman" w:eastAsia="Times New Roman" w:hAnsi="Times New Roman" w:cs="Times New Roman"/>
          <w:color w:val="333333"/>
          <w:sz w:val="24"/>
          <w:szCs w:val="24"/>
        </w:rPr>
        <w:t xml:space="preserve"> (69%) and </w:t>
      </w:r>
      <w:proofErr w:type="spellStart"/>
      <w:r w:rsidRPr="00A62F93">
        <w:rPr>
          <w:rFonts w:ascii="Times New Roman" w:eastAsia="Times New Roman" w:hAnsi="Times New Roman" w:cs="Times New Roman"/>
          <w:color w:val="333333"/>
          <w:sz w:val="24"/>
          <w:szCs w:val="24"/>
        </w:rPr>
        <w:t>FlexHD</w:t>
      </w:r>
      <w:proofErr w:type="spellEnd"/>
      <w:r w:rsidRPr="00A62F93">
        <w:rPr>
          <w:rFonts w:ascii="Times New Roman" w:eastAsia="Times New Roman" w:hAnsi="Times New Roman" w:cs="Times New Roman"/>
          <w:color w:val="333333"/>
          <w:sz w:val="24"/>
          <w:szCs w:val="24"/>
        </w:rPr>
        <w:t xml:space="preserve"> Pliable (31%). Both ADMs performed well; however anecdotally, we observed differences in cosmetic results which we hypothesize could be attributed to graft variability. We currently use a single type of ADM (</w:t>
      </w:r>
      <w:proofErr w:type="spellStart"/>
      <w:r w:rsidRPr="00A62F93">
        <w:rPr>
          <w:rFonts w:ascii="Times New Roman" w:eastAsia="Times New Roman" w:hAnsi="Times New Roman" w:cs="Times New Roman"/>
          <w:color w:val="333333"/>
          <w:sz w:val="24"/>
          <w:szCs w:val="24"/>
        </w:rPr>
        <w:t>FlexHD</w:t>
      </w:r>
      <w:proofErr w:type="spellEnd"/>
      <w:r w:rsidRPr="00A62F93">
        <w:rPr>
          <w:rFonts w:ascii="Times New Roman" w:eastAsia="Times New Roman" w:hAnsi="Times New Roman" w:cs="Times New Roman"/>
          <w:color w:val="333333"/>
          <w:sz w:val="24"/>
          <w:szCs w:val="24"/>
        </w:rPr>
        <w:t xml:space="preserve"> Pliable); however, we did not critically analyze </w:t>
      </w:r>
      <w:proofErr w:type="spellStart"/>
      <w:r w:rsidRPr="00A62F93">
        <w:rPr>
          <w:rFonts w:ascii="Times New Roman" w:eastAsia="Times New Roman" w:hAnsi="Times New Roman" w:cs="Times New Roman"/>
          <w:color w:val="333333"/>
          <w:sz w:val="24"/>
          <w:szCs w:val="24"/>
        </w:rPr>
        <w:t>FlexHD</w:t>
      </w:r>
      <w:proofErr w:type="spellEnd"/>
      <w:r w:rsidRPr="00A62F93">
        <w:rPr>
          <w:rFonts w:ascii="Times New Roman" w:eastAsia="Times New Roman" w:hAnsi="Times New Roman" w:cs="Times New Roman"/>
          <w:color w:val="333333"/>
          <w:sz w:val="24"/>
          <w:szCs w:val="24"/>
        </w:rPr>
        <w:t xml:space="preserve"> versus </w:t>
      </w:r>
      <w:proofErr w:type="spellStart"/>
      <w:r w:rsidRPr="00A62F93">
        <w:rPr>
          <w:rFonts w:ascii="Times New Roman" w:eastAsia="Times New Roman" w:hAnsi="Times New Roman" w:cs="Times New Roman"/>
          <w:color w:val="333333"/>
          <w:sz w:val="24"/>
          <w:szCs w:val="24"/>
        </w:rPr>
        <w:t>Alloderm</w:t>
      </w:r>
      <w:proofErr w:type="spellEnd"/>
      <w:r w:rsidRPr="00A62F93">
        <w:rPr>
          <w:rFonts w:ascii="Times New Roman" w:eastAsia="Times New Roman" w:hAnsi="Times New Roman" w:cs="Times New Roman"/>
          <w:color w:val="333333"/>
          <w:sz w:val="24"/>
          <w:szCs w:val="24"/>
        </w:rPr>
        <w:t>, recognizing that a prospective comparative study to evaluate cosmetic outcomes and soft tissue complications between different ADM materials is needed to confirm our observations.</w:t>
      </w:r>
    </w:p>
    <w:p w:rsidR="00A62F93" w:rsidRPr="00A62F93" w:rsidRDefault="00A62F93" w:rsidP="00A62F93">
      <w:pPr>
        <w:spacing w:after="0" w:line="240" w:lineRule="auto"/>
        <w:rPr>
          <w:rFonts w:ascii="Times New Roman" w:eastAsia="Times New Roman" w:hAnsi="Times New Roman" w:cs="Times New Roman"/>
          <w:sz w:val="24"/>
          <w:szCs w:val="24"/>
        </w:rPr>
      </w:pPr>
      <w:hyperlink r:id="rId48" w:history="1">
        <w:r w:rsidRPr="00A62F93">
          <w:rPr>
            <w:rFonts w:ascii="Times New Roman" w:eastAsia="Times New Roman" w:hAnsi="Times New Roman" w:cs="Times New Roman"/>
            <w:color w:val="867C9C"/>
            <w:sz w:val="24"/>
            <w:szCs w:val="24"/>
            <w:u w:val="single"/>
          </w:rPr>
          <w:t>Back to Top</w:t>
        </w:r>
      </w:hyperlink>
      <w:r w:rsidRPr="00A62F93">
        <w:rPr>
          <w:rFonts w:ascii="Times New Roman" w:eastAsia="Times New Roman" w:hAnsi="Times New Roman" w:cs="Times New Roman"/>
          <w:sz w:val="24"/>
          <w:szCs w:val="24"/>
        </w:rPr>
        <w:t> | </w:t>
      </w:r>
      <w:hyperlink r:id="rId49" w:history="1">
        <w:r w:rsidRPr="00A62F93">
          <w:rPr>
            <w:rFonts w:ascii="Times New Roman" w:eastAsia="Times New Roman" w:hAnsi="Times New Roman" w:cs="Times New Roman"/>
            <w:color w:val="867C9C"/>
            <w:sz w:val="24"/>
            <w:szCs w:val="24"/>
            <w:u w:val="single"/>
          </w:rPr>
          <w:t>Article Outline</w:t>
        </w:r>
      </w:hyperlink>
    </w:p>
    <w:p w:rsidR="00A62F93" w:rsidRPr="00A62F93" w:rsidRDefault="00A62F93" w:rsidP="00A62F93">
      <w:pPr>
        <w:spacing w:before="100" w:beforeAutospacing="1" w:after="0" w:line="240" w:lineRule="auto"/>
        <w:outlineLvl w:val="1"/>
        <w:rPr>
          <w:rFonts w:ascii="Arial" w:eastAsia="Times New Roman" w:hAnsi="Arial" w:cs="Arial"/>
          <w:b/>
          <w:bCs/>
          <w:color w:val="3B3030"/>
          <w:sz w:val="36"/>
          <w:szCs w:val="36"/>
        </w:rPr>
      </w:pPr>
      <w:r w:rsidRPr="00A62F93">
        <w:rPr>
          <w:rFonts w:ascii="Arial" w:eastAsia="Times New Roman" w:hAnsi="Arial" w:cs="Arial"/>
          <w:b/>
          <w:bCs/>
          <w:color w:val="3B3030"/>
          <w:sz w:val="36"/>
          <w:szCs w:val="36"/>
        </w:rPr>
        <w:t>CONCLUSIONS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 xml:space="preserve">The availability of an ADM combined with </w:t>
      </w:r>
      <w:proofErr w:type="spellStart"/>
      <w:r w:rsidRPr="00A62F93">
        <w:rPr>
          <w:rFonts w:ascii="Times New Roman" w:eastAsia="Times New Roman" w:hAnsi="Times New Roman" w:cs="Times New Roman"/>
          <w:color w:val="333333"/>
          <w:sz w:val="24"/>
          <w:szCs w:val="24"/>
        </w:rPr>
        <w:t>ultracohesive</w:t>
      </w:r>
      <w:proofErr w:type="spellEnd"/>
      <w:r w:rsidRPr="00A62F93">
        <w:rPr>
          <w:rFonts w:ascii="Times New Roman" w:eastAsia="Times New Roman" w:hAnsi="Times New Roman" w:cs="Times New Roman"/>
          <w:color w:val="333333"/>
          <w:sz w:val="24"/>
          <w:szCs w:val="24"/>
        </w:rPr>
        <w:t xml:space="preserve">-shaped breast implants allows us to perform an outpatient above-the-muscle immediate breast reconstruction with an acceptable rate of major complications, excellent cosmetic results, and no </w:t>
      </w:r>
      <w:proofErr w:type="spellStart"/>
      <w:r w:rsidRPr="00A62F93">
        <w:rPr>
          <w:rFonts w:ascii="Times New Roman" w:eastAsia="Times New Roman" w:hAnsi="Times New Roman" w:cs="Times New Roman"/>
          <w:color w:val="333333"/>
          <w:sz w:val="24"/>
          <w:szCs w:val="24"/>
        </w:rPr>
        <w:t>hyperanimation</w:t>
      </w:r>
      <w:proofErr w:type="spellEnd"/>
      <w:r w:rsidRPr="00A62F93">
        <w:rPr>
          <w:rFonts w:ascii="Times New Roman" w:eastAsia="Times New Roman" w:hAnsi="Times New Roman" w:cs="Times New Roman"/>
          <w:color w:val="333333"/>
          <w:sz w:val="24"/>
          <w:szCs w:val="24"/>
        </w:rPr>
        <w:t xml:space="preserve"> deformity or pain associated with pectoral muscle disruption. This approach is a faster, less invasive option that should be considered in select cases. It offers patients a complete outpatient mastectomy and reconstruction without compromising clinical outcomes or further postoperative oncologic therapy. Additionally, the costs and complications associated with tissue expanders and a second surgery are eliminated.</w:t>
      </w:r>
    </w:p>
    <w:p w:rsidR="00A62F93" w:rsidRPr="00A62F93" w:rsidRDefault="00A62F93" w:rsidP="00A62F93">
      <w:pPr>
        <w:spacing w:after="0" w:line="240" w:lineRule="auto"/>
        <w:rPr>
          <w:rFonts w:ascii="Times New Roman" w:eastAsia="Times New Roman" w:hAnsi="Times New Roman" w:cs="Times New Roman"/>
          <w:sz w:val="24"/>
          <w:szCs w:val="24"/>
        </w:rPr>
      </w:pPr>
      <w:hyperlink r:id="rId50" w:history="1">
        <w:r w:rsidRPr="00A62F93">
          <w:rPr>
            <w:rFonts w:ascii="Times New Roman" w:eastAsia="Times New Roman" w:hAnsi="Times New Roman" w:cs="Times New Roman"/>
            <w:color w:val="867C9C"/>
            <w:sz w:val="24"/>
            <w:szCs w:val="24"/>
            <w:u w:val="single"/>
          </w:rPr>
          <w:t>Back to Top</w:t>
        </w:r>
      </w:hyperlink>
      <w:r w:rsidRPr="00A62F93">
        <w:rPr>
          <w:rFonts w:ascii="Times New Roman" w:eastAsia="Times New Roman" w:hAnsi="Times New Roman" w:cs="Times New Roman"/>
          <w:sz w:val="24"/>
          <w:szCs w:val="24"/>
        </w:rPr>
        <w:t> | </w:t>
      </w:r>
      <w:hyperlink r:id="rId51" w:history="1">
        <w:r w:rsidRPr="00A62F93">
          <w:rPr>
            <w:rFonts w:ascii="Times New Roman" w:eastAsia="Times New Roman" w:hAnsi="Times New Roman" w:cs="Times New Roman"/>
            <w:color w:val="867C9C"/>
            <w:sz w:val="24"/>
            <w:szCs w:val="24"/>
            <w:u w:val="single"/>
          </w:rPr>
          <w:t>Article Outline</w:t>
        </w:r>
      </w:hyperlink>
    </w:p>
    <w:p w:rsidR="00A62F93" w:rsidRPr="00A62F93" w:rsidRDefault="00A62F93" w:rsidP="00A62F93">
      <w:pPr>
        <w:spacing w:before="100" w:beforeAutospacing="1" w:after="0" w:line="240" w:lineRule="auto"/>
        <w:outlineLvl w:val="1"/>
        <w:rPr>
          <w:rFonts w:ascii="Arial" w:eastAsia="Times New Roman" w:hAnsi="Arial" w:cs="Arial"/>
          <w:b/>
          <w:bCs/>
          <w:color w:val="3B3030"/>
          <w:sz w:val="36"/>
          <w:szCs w:val="36"/>
        </w:rPr>
      </w:pPr>
      <w:r w:rsidRPr="00A62F93">
        <w:rPr>
          <w:rFonts w:ascii="Arial" w:eastAsia="Times New Roman" w:hAnsi="Arial" w:cs="Arial"/>
          <w:b/>
          <w:bCs/>
          <w:color w:val="3B3030"/>
          <w:sz w:val="36"/>
          <w:szCs w:val="36"/>
        </w:rPr>
        <w:t>ACKNOWLEDGMENTS</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The authors recognize and thank Edward Wang, PhD, who reviewed our data and performed all statistical analyses. Dr. Wang’s insights and assistance in the preparation of this article are greatly appreciated.</w:t>
      </w:r>
    </w:p>
    <w:p w:rsidR="00A62F93" w:rsidRPr="00A62F93" w:rsidRDefault="00A62F93" w:rsidP="00A62F93">
      <w:pPr>
        <w:spacing w:after="150" w:line="240" w:lineRule="auto"/>
        <w:rPr>
          <w:rFonts w:ascii="Times New Roman" w:eastAsia="Times New Roman" w:hAnsi="Times New Roman" w:cs="Times New Roman"/>
          <w:color w:val="333333"/>
          <w:sz w:val="24"/>
          <w:szCs w:val="24"/>
        </w:rPr>
      </w:pPr>
      <w:r w:rsidRPr="00A62F93">
        <w:rPr>
          <w:rFonts w:ascii="Times New Roman" w:eastAsia="Times New Roman" w:hAnsi="Times New Roman" w:cs="Times New Roman"/>
          <w:color w:val="333333"/>
          <w:sz w:val="24"/>
          <w:szCs w:val="24"/>
        </w:rPr>
        <w:t>Ethical Research Statement: This research conformed to the Declaration of Helsinki—Ethical Principles for Medical Research Involving Human Subjects.</w:t>
      </w:r>
    </w:p>
    <w:p w:rsidR="00A62F93" w:rsidRPr="00A62F93" w:rsidRDefault="00A62F93" w:rsidP="00A62F93">
      <w:pPr>
        <w:spacing w:after="0" w:line="240" w:lineRule="auto"/>
        <w:rPr>
          <w:rFonts w:ascii="Times New Roman" w:eastAsia="Times New Roman" w:hAnsi="Times New Roman" w:cs="Times New Roman"/>
          <w:sz w:val="24"/>
          <w:szCs w:val="24"/>
        </w:rPr>
      </w:pPr>
      <w:hyperlink r:id="rId52" w:history="1">
        <w:r w:rsidRPr="00A62F93">
          <w:rPr>
            <w:rFonts w:ascii="Times New Roman" w:eastAsia="Times New Roman" w:hAnsi="Times New Roman" w:cs="Times New Roman"/>
            <w:color w:val="113273"/>
            <w:sz w:val="24"/>
            <w:szCs w:val="24"/>
            <w:u w:val="single"/>
          </w:rPr>
          <w:t>Back to Top</w:t>
        </w:r>
      </w:hyperlink>
      <w:r w:rsidRPr="00A62F93">
        <w:rPr>
          <w:rFonts w:ascii="Times New Roman" w:eastAsia="Times New Roman" w:hAnsi="Times New Roman" w:cs="Times New Roman"/>
          <w:sz w:val="24"/>
          <w:szCs w:val="24"/>
        </w:rPr>
        <w:t> | </w:t>
      </w:r>
      <w:hyperlink r:id="rId53" w:history="1">
        <w:r w:rsidRPr="00A62F93">
          <w:rPr>
            <w:rFonts w:ascii="Times New Roman" w:eastAsia="Times New Roman" w:hAnsi="Times New Roman" w:cs="Times New Roman"/>
            <w:color w:val="113273"/>
            <w:sz w:val="24"/>
            <w:szCs w:val="24"/>
            <w:u w:val="single"/>
          </w:rPr>
          <w:t>Article Outline</w:t>
        </w:r>
      </w:hyperlink>
    </w:p>
    <w:p w:rsidR="00A62F93" w:rsidRPr="00A62F93" w:rsidRDefault="00A62F93" w:rsidP="00A62F93">
      <w:pPr>
        <w:spacing w:before="100" w:beforeAutospacing="1" w:after="0" w:line="240" w:lineRule="auto"/>
        <w:outlineLvl w:val="1"/>
        <w:rPr>
          <w:rFonts w:ascii="Arial" w:eastAsia="Times New Roman" w:hAnsi="Arial" w:cs="Arial"/>
          <w:b/>
          <w:bCs/>
          <w:color w:val="3B3030"/>
          <w:sz w:val="36"/>
          <w:szCs w:val="36"/>
        </w:rPr>
      </w:pPr>
      <w:r w:rsidRPr="00A62F93">
        <w:rPr>
          <w:rFonts w:ascii="Arial" w:eastAsia="Times New Roman" w:hAnsi="Arial" w:cs="Arial"/>
          <w:b/>
          <w:bCs/>
          <w:color w:val="3B3030"/>
          <w:sz w:val="36"/>
          <w:szCs w:val="36"/>
        </w:rPr>
        <w:t>REFERENCES</w:t>
      </w: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 </w:t>
      </w:r>
      <w:proofErr w:type="spellStart"/>
      <w:r w:rsidRPr="00A62F93">
        <w:rPr>
          <w:rFonts w:ascii="Times New Roman" w:eastAsia="Times New Roman" w:hAnsi="Times New Roman" w:cs="Times New Roman"/>
          <w:sz w:val="24"/>
          <w:szCs w:val="24"/>
        </w:rPr>
        <w:t>Uroskie</w:t>
      </w:r>
      <w:proofErr w:type="spellEnd"/>
      <w:r w:rsidRPr="00A62F93">
        <w:rPr>
          <w:rFonts w:ascii="Times New Roman" w:eastAsia="Times New Roman" w:hAnsi="Times New Roman" w:cs="Times New Roman"/>
          <w:sz w:val="24"/>
          <w:szCs w:val="24"/>
        </w:rPr>
        <w:t xml:space="preserve"> TW, </w:t>
      </w:r>
      <w:proofErr w:type="spellStart"/>
      <w:r w:rsidRPr="00A62F93">
        <w:rPr>
          <w:rFonts w:ascii="Times New Roman" w:eastAsia="Times New Roman" w:hAnsi="Times New Roman" w:cs="Times New Roman"/>
          <w:sz w:val="24"/>
          <w:szCs w:val="24"/>
        </w:rPr>
        <w:t>Colen</w:t>
      </w:r>
      <w:proofErr w:type="spellEnd"/>
      <w:r w:rsidRPr="00A62F93">
        <w:rPr>
          <w:rFonts w:ascii="Times New Roman" w:eastAsia="Times New Roman" w:hAnsi="Times New Roman" w:cs="Times New Roman"/>
          <w:sz w:val="24"/>
          <w:szCs w:val="24"/>
        </w:rPr>
        <w:t xml:space="preserve"> LB. History of breast reconstruction. </w:t>
      </w:r>
      <w:proofErr w:type="spellStart"/>
      <w:r w:rsidRPr="00A62F93">
        <w:rPr>
          <w:rFonts w:ascii="Times New Roman" w:eastAsia="Times New Roman" w:hAnsi="Times New Roman" w:cs="Times New Roman"/>
          <w:sz w:val="24"/>
          <w:szCs w:val="24"/>
        </w:rPr>
        <w:t>Semin</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2004;18:65</w:t>
      </w:r>
      <w:proofErr w:type="gramEnd"/>
      <w:r w:rsidRPr="00A62F93">
        <w:rPr>
          <w:rFonts w:ascii="Times New Roman" w:eastAsia="Times New Roman" w:hAnsi="Times New Roman" w:cs="Times New Roman"/>
          <w:sz w:val="24"/>
          <w:szCs w:val="24"/>
        </w:rPr>
        <w:t>–69.</w:t>
      </w:r>
    </w:p>
    <w:p w:rsidR="00A62F93" w:rsidRPr="00A62F93" w:rsidRDefault="00A62F93" w:rsidP="00A62F93">
      <w:pPr>
        <w:numPr>
          <w:ilvl w:val="0"/>
          <w:numId w:val="2"/>
        </w:numPr>
        <w:spacing w:before="100" w:beforeAutospacing="1" w:after="100" w:afterAutospacing="1" w:line="240" w:lineRule="auto"/>
        <w:ind w:left="0"/>
        <w:rPr>
          <w:rFonts w:ascii="Times New Roman" w:eastAsia="Times New Roman" w:hAnsi="Times New Roman" w:cs="Times New Roman"/>
          <w:sz w:val="24"/>
          <w:szCs w:val="24"/>
        </w:rPr>
      </w:pPr>
      <w:hyperlink r:id="rId54" w:anchor="JCL4-1"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2"/>
        </w:numPr>
        <w:spacing w:before="100" w:beforeAutospacing="1" w:after="100" w:afterAutospacing="1" w:line="240" w:lineRule="auto"/>
        <w:ind w:left="0"/>
        <w:rPr>
          <w:rFonts w:ascii="Times New Roman" w:eastAsia="Times New Roman" w:hAnsi="Times New Roman" w:cs="Times New Roman"/>
          <w:sz w:val="24"/>
          <w:szCs w:val="24"/>
        </w:rPr>
      </w:pPr>
      <w:hyperlink r:id="rId55"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56"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"http://dx.doi.org/10.1055%2Fs-2004-829040"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2"/>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2"/>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2. </w:t>
      </w:r>
      <w:proofErr w:type="spellStart"/>
      <w:r w:rsidRPr="00A62F93">
        <w:rPr>
          <w:rFonts w:ascii="Times New Roman" w:eastAsia="Times New Roman" w:hAnsi="Times New Roman" w:cs="Times New Roman"/>
          <w:sz w:val="24"/>
          <w:szCs w:val="24"/>
        </w:rPr>
        <w:t>Breuing</w:t>
      </w:r>
      <w:proofErr w:type="spellEnd"/>
      <w:r w:rsidRPr="00A62F93">
        <w:rPr>
          <w:rFonts w:ascii="Times New Roman" w:eastAsia="Times New Roman" w:hAnsi="Times New Roman" w:cs="Times New Roman"/>
          <w:sz w:val="24"/>
          <w:szCs w:val="24"/>
        </w:rPr>
        <w:t xml:space="preserve"> KH, Warren SM. Immediate bilateral breast reconstruction with implants and inferolateral </w:t>
      </w:r>
      <w:proofErr w:type="spellStart"/>
      <w:r w:rsidRPr="00A62F93">
        <w:rPr>
          <w:rFonts w:ascii="Times New Roman" w:eastAsia="Times New Roman" w:hAnsi="Times New Roman" w:cs="Times New Roman"/>
          <w:sz w:val="24"/>
          <w:szCs w:val="24"/>
        </w:rPr>
        <w:t>AlloDerm</w:t>
      </w:r>
      <w:proofErr w:type="spellEnd"/>
      <w:r w:rsidRPr="00A62F93">
        <w:rPr>
          <w:rFonts w:ascii="Times New Roman" w:eastAsia="Times New Roman" w:hAnsi="Times New Roman" w:cs="Times New Roman"/>
          <w:sz w:val="24"/>
          <w:szCs w:val="24"/>
        </w:rPr>
        <w:t xml:space="preserve"> slings. Ann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2005;55:232</w:t>
      </w:r>
      <w:proofErr w:type="gramEnd"/>
      <w:r w:rsidRPr="00A62F93">
        <w:rPr>
          <w:rFonts w:ascii="Times New Roman" w:eastAsia="Times New Roman" w:hAnsi="Times New Roman" w:cs="Times New Roman"/>
          <w:sz w:val="24"/>
          <w:szCs w:val="24"/>
        </w:rPr>
        <w:t>–239.</w:t>
      </w:r>
    </w:p>
    <w:p w:rsidR="00A62F93" w:rsidRPr="00A62F93" w:rsidRDefault="00A62F93" w:rsidP="00A62F93">
      <w:pPr>
        <w:numPr>
          <w:ilvl w:val="0"/>
          <w:numId w:val="3"/>
        </w:numPr>
        <w:spacing w:before="100" w:beforeAutospacing="1" w:after="100" w:afterAutospacing="1" w:line="240" w:lineRule="auto"/>
        <w:ind w:left="0"/>
        <w:rPr>
          <w:rFonts w:ascii="Times New Roman" w:eastAsia="Times New Roman" w:hAnsi="Times New Roman" w:cs="Times New Roman"/>
          <w:sz w:val="24"/>
          <w:szCs w:val="24"/>
        </w:rPr>
      </w:pPr>
      <w:hyperlink r:id="rId57" w:anchor="JCL4-1"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3"/>
        </w:numPr>
        <w:spacing w:before="100" w:beforeAutospacing="1" w:after="100" w:afterAutospacing="1" w:line="240" w:lineRule="auto"/>
        <w:ind w:left="0"/>
        <w:rPr>
          <w:rFonts w:ascii="Times New Roman" w:eastAsia="Times New Roman" w:hAnsi="Times New Roman" w:cs="Times New Roman"/>
          <w:sz w:val="24"/>
          <w:szCs w:val="24"/>
        </w:rPr>
      </w:pPr>
      <w:hyperlink r:id="rId58"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59"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"http://dx.doi.org/10.1097%2F01.sap.0000168527.52472.3c"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3"/>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3"/>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3. American Society of Plastic Surgeons. 2014 Statistics. Available at: </w:t>
      </w:r>
      <w:hyperlink r:id="rId60" w:tgtFrame="_blank" w:history="1">
        <w:r w:rsidRPr="00A62F93">
          <w:rPr>
            <w:rFonts w:ascii="Times New Roman" w:eastAsia="Times New Roman" w:hAnsi="Times New Roman" w:cs="Times New Roman"/>
            <w:color w:val="113273"/>
            <w:sz w:val="24"/>
            <w:szCs w:val="24"/>
            <w:u w:val="single"/>
          </w:rPr>
          <w:t>http://www.plasticsurgery.org/Documents/news-resources/statistics/2014-statistics/plastic-surgery-statsitics-full-report.pdf</w:t>
        </w:r>
      </w:hyperlink>
      <w:r w:rsidRPr="00A62F93">
        <w:rPr>
          <w:rFonts w:ascii="Times New Roman" w:eastAsia="Times New Roman" w:hAnsi="Times New Roman" w:cs="Times New Roman"/>
          <w:sz w:val="24"/>
          <w:szCs w:val="24"/>
        </w:rPr>
        <w:t>. Accessed October 1, 2015.</w:t>
      </w:r>
    </w:p>
    <w:p w:rsidR="00A62F93" w:rsidRPr="00A62F93" w:rsidRDefault="00A62F93" w:rsidP="00A62F93">
      <w:pPr>
        <w:numPr>
          <w:ilvl w:val="0"/>
          <w:numId w:val="4"/>
        </w:numPr>
        <w:spacing w:before="100" w:beforeAutospacing="1" w:after="100" w:afterAutospacing="1" w:line="240" w:lineRule="auto"/>
        <w:ind w:left="0"/>
        <w:rPr>
          <w:rFonts w:ascii="Times New Roman" w:eastAsia="Times New Roman" w:hAnsi="Times New Roman" w:cs="Times New Roman"/>
          <w:sz w:val="24"/>
          <w:szCs w:val="24"/>
        </w:rPr>
      </w:pPr>
      <w:hyperlink r:id="rId61" w:anchor="JCL4-1" w:history="1">
        <w:r w:rsidRPr="00A62F93">
          <w:rPr>
            <w:rFonts w:ascii="Times New Roman" w:eastAsia="Times New Roman" w:hAnsi="Times New Roman" w:cs="Times New Roman"/>
            <w:color w:val="113273"/>
            <w:sz w:val="24"/>
            <w:szCs w:val="24"/>
            <w:u w:val="single"/>
          </w:rPr>
          <w:t>Cited Here...</w:t>
        </w:r>
      </w:hyperlink>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4. </w:t>
      </w:r>
      <w:proofErr w:type="spellStart"/>
      <w:r w:rsidRPr="00A62F93">
        <w:rPr>
          <w:rFonts w:ascii="Times New Roman" w:eastAsia="Times New Roman" w:hAnsi="Times New Roman" w:cs="Times New Roman"/>
          <w:sz w:val="24"/>
          <w:szCs w:val="24"/>
        </w:rPr>
        <w:t>Cassileth</w:t>
      </w:r>
      <w:proofErr w:type="spellEnd"/>
      <w:r w:rsidRPr="00A62F93">
        <w:rPr>
          <w:rFonts w:ascii="Times New Roman" w:eastAsia="Times New Roman" w:hAnsi="Times New Roman" w:cs="Times New Roman"/>
          <w:sz w:val="24"/>
          <w:szCs w:val="24"/>
        </w:rPr>
        <w:t xml:space="preserve"> L, </w:t>
      </w:r>
      <w:proofErr w:type="spellStart"/>
      <w:r w:rsidRPr="00A62F93">
        <w:rPr>
          <w:rFonts w:ascii="Times New Roman" w:eastAsia="Times New Roman" w:hAnsi="Times New Roman" w:cs="Times New Roman"/>
          <w:sz w:val="24"/>
          <w:szCs w:val="24"/>
        </w:rPr>
        <w:t>Kohanzadeh</w:t>
      </w:r>
      <w:proofErr w:type="spellEnd"/>
      <w:r w:rsidRPr="00A62F93">
        <w:rPr>
          <w:rFonts w:ascii="Times New Roman" w:eastAsia="Times New Roman" w:hAnsi="Times New Roman" w:cs="Times New Roman"/>
          <w:sz w:val="24"/>
          <w:szCs w:val="24"/>
        </w:rPr>
        <w:t xml:space="preserve"> S, </w:t>
      </w:r>
      <w:proofErr w:type="spellStart"/>
      <w:r w:rsidRPr="00A62F93">
        <w:rPr>
          <w:rFonts w:ascii="Times New Roman" w:eastAsia="Times New Roman" w:hAnsi="Times New Roman" w:cs="Times New Roman"/>
          <w:sz w:val="24"/>
          <w:szCs w:val="24"/>
        </w:rPr>
        <w:t>Amersi</w:t>
      </w:r>
      <w:proofErr w:type="spellEnd"/>
      <w:r w:rsidRPr="00A62F93">
        <w:rPr>
          <w:rFonts w:ascii="Times New Roman" w:eastAsia="Times New Roman" w:hAnsi="Times New Roman" w:cs="Times New Roman"/>
          <w:sz w:val="24"/>
          <w:szCs w:val="24"/>
        </w:rPr>
        <w:t xml:space="preserve"> F. One-stage immediate breast reconstruction with implants: a new option for immediate reconstruction. Ann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2012;69:134</w:t>
      </w:r>
      <w:proofErr w:type="gramEnd"/>
      <w:r w:rsidRPr="00A62F93">
        <w:rPr>
          <w:rFonts w:ascii="Times New Roman" w:eastAsia="Times New Roman" w:hAnsi="Times New Roman" w:cs="Times New Roman"/>
          <w:sz w:val="24"/>
          <w:szCs w:val="24"/>
        </w:rPr>
        <w:t>–138.</w:t>
      </w:r>
    </w:p>
    <w:p w:rsidR="00A62F93" w:rsidRPr="00A62F93" w:rsidRDefault="00A62F93" w:rsidP="00A62F93">
      <w:pPr>
        <w:numPr>
          <w:ilvl w:val="0"/>
          <w:numId w:val="5"/>
        </w:numPr>
        <w:spacing w:before="100" w:beforeAutospacing="1" w:after="100" w:afterAutospacing="1" w:line="240" w:lineRule="auto"/>
        <w:ind w:left="0"/>
        <w:rPr>
          <w:rFonts w:ascii="Times New Roman" w:eastAsia="Times New Roman" w:hAnsi="Times New Roman" w:cs="Times New Roman"/>
          <w:sz w:val="24"/>
          <w:szCs w:val="24"/>
        </w:rPr>
      </w:pPr>
      <w:hyperlink r:id="rId62" w:anchor="JCL4-1"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5"/>
        </w:numPr>
        <w:spacing w:before="100" w:beforeAutospacing="1" w:after="100" w:afterAutospacing="1" w:line="240" w:lineRule="auto"/>
        <w:ind w:left="0"/>
        <w:rPr>
          <w:rFonts w:ascii="Times New Roman" w:eastAsia="Times New Roman" w:hAnsi="Times New Roman" w:cs="Times New Roman"/>
          <w:sz w:val="24"/>
          <w:szCs w:val="24"/>
        </w:rPr>
      </w:pPr>
      <w:hyperlink r:id="rId63"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64"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"http://dx.doi.org/10.1097%2FSAP.0b013e3182250c60"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5"/>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5"/>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5. Colwell AS, Damjanovic B, Zahedi B, et al. Retrospective review of 331 consecutive immediate single-stage implant reconstructions with acellular dermal matrix: indications, complications, trends, and costs.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Reconstr</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2011;128:1170</w:t>
      </w:r>
      <w:proofErr w:type="gramEnd"/>
      <w:r w:rsidRPr="00A62F93">
        <w:rPr>
          <w:rFonts w:ascii="Times New Roman" w:eastAsia="Times New Roman" w:hAnsi="Times New Roman" w:cs="Times New Roman"/>
          <w:sz w:val="24"/>
          <w:szCs w:val="24"/>
        </w:rPr>
        <w:t>–1178.</w:t>
      </w:r>
    </w:p>
    <w:p w:rsidR="00A62F93" w:rsidRPr="00A62F93" w:rsidRDefault="00A62F93" w:rsidP="00A62F93">
      <w:pPr>
        <w:numPr>
          <w:ilvl w:val="0"/>
          <w:numId w:val="6"/>
        </w:numPr>
        <w:spacing w:before="100" w:beforeAutospacing="1" w:after="100" w:afterAutospacing="1" w:line="240" w:lineRule="auto"/>
        <w:ind w:left="0"/>
        <w:rPr>
          <w:rFonts w:ascii="Times New Roman" w:eastAsia="Times New Roman" w:hAnsi="Times New Roman" w:cs="Times New Roman"/>
          <w:sz w:val="24"/>
          <w:szCs w:val="24"/>
        </w:rPr>
      </w:pPr>
      <w:hyperlink r:id="rId65" w:anchor="JCL4-1"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6"/>
        </w:numPr>
        <w:spacing w:before="100" w:beforeAutospacing="1" w:after="100" w:afterAutospacing="1" w:line="240" w:lineRule="auto"/>
        <w:ind w:left="0"/>
        <w:rPr>
          <w:rFonts w:ascii="Times New Roman" w:eastAsia="Times New Roman" w:hAnsi="Times New Roman" w:cs="Times New Roman"/>
          <w:sz w:val="24"/>
          <w:szCs w:val="24"/>
        </w:rPr>
      </w:pPr>
      <w:hyperlink r:id="rId66"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67"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"http://dx.doi.org/10.1097%2FPRS.0b013e318230c2f6"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6"/>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6"/>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6. Colwell AS. Direct-to-implant breast reconstruction. Gland Surg. </w:t>
      </w:r>
      <w:proofErr w:type="gramStart"/>
      <w:r w:rsidRPr="00A62F93">
        <w:rPr>
          <w:rFonts w:ascii="Times New Roman" w:eastAsia="Times New Roman" w:hAnsi="Times New Roman" w:cs="Times New Roman"/>
          <w:sz w:val="24"/>
          <w:szCs w:val="24"/>
        </w:rPr>
        <w:t>2012;1:139</w:t>
      </w:r>
      <w:proofErr w:type="gramEnd"/>
      <w:r w:rsidRPr="00A62F93">
        <w:rPr>
          <w:rFonts w:ascii="Times New Roman" w:eastAsia="Times New Roman" w:hAnsi="Times New Roman" w:cs="Times New Roman"/>
          <w:sz w:val="24"/>
          <w:szCs w:val="24"/>
        </w:rPr>
        <w:t>–141.</w:t>
      </w:r>
    </w:p>
    <w:p w:rsidR="00A62F93" w:rsidRPr="00A62F93" w:rsidRDefault="00A62F93" w:rsidP="00A62F93">
      <w:pPr>
        <w:numPr>
          <w:ilvl w:val="0"/>
          <w:numId w:val="7"/>
        </w:numPr>
        <w:spacing w:before="100" w:beforeAutospacing="1" w:after="100" w:afterAutospacing="1" w:line="240" w:lineRule="auto"/>
        <w:ind w:left="0"/>
        <w:rPr>
          <w:rFonts w:ascii="Times New Roman" w:eastAsia="Times New Roman" w:hAnsi="Times New Roman" w:cs="Times New Roman"/>
          <w:sz w:val="24"/>
          <w:szCs w:val="24"/>
        </w:rPr>
      </w:pPr>
      <w:hyperlink r:id="rId68" w:anchor="JCL4-1" w:history="1">
        <w:r w:rsidRPr="00A62F93">
          <w:rPr>
            <w:rFonts w:ascii="Times New Roman" w:eastAsia="Times New Roman" w:hAnsi="Times New Roman" w:cs="Times New Roman"/>
            <w:color w:val="113273"/>
            <w:sz w:val="24"/>
            <w:szCs w:val="24"/>
            <w:u w:val="single"/>
          </w:rPr>
          <w:t>Cited Here...</w:t>
        </w:r>
      </w:hyperlink>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lastRenderedPageBreak/>
        <w:t xml:space="preserve">7. </w:t>
      </w:r>
      <w:proofErr w:type="spellStart"/>
      <w:r w:rsidRPr="00A62F93">
        <w:rPr>
          <w:rFonts w:ascii="Times New Roman" w:eastAsia="Times New Roman" w:hAnsi="Times New Roman" w:cs="Times New Roman"/>
          <w:sz w:val="24"/>
          <w:szCs w:val="24"/>
        </w:rPr>
        <w:t>Hultman</w:t>
      </w:r>
      <w:proofErr w:type="spellEnd"/>
      <w:r w:rsidRPr="00A62F93">
        <w:rPr>
          <w:rFonts w:ascii="Times New Roman" w:eastAsia="Times New Roman" w:hAnsi="Times New Roman" w:cs="Times New Roman"/>
          <w:sz w:val="24"/>
          <w:szCs w:val="24"/>
        </w:rPr>
        <w:t xml:space="preserve"> CS, </w:t>
      </w:r>
      <w:proofErr w:type="spellStart"/>
      <w:r w:rsidRPr="00A62F93">
        <w:rPr>
          <w:rFonts w:ascii="Times New Roman" w:eastAsia="Times New Roman" w:hAnsi="Times New Roman" w:cs="Times New Roman"/>
          <w:sz w:val="24"/>
          <w:szCs w:val="24"/>
        </w:rPr>
        <w:t>Daiza</w:t>
      </w:r>
      <w:proofErr w:type="spellEnd"/>
      <w:r w:rsidRPr="00A62F93">
        <w:rPr>
          <w:rFonts w:ascii="Times New Roman" w:eastAsia="Times New Roman" w:hAnsi="Times New Roman" w:cs="Times New Roman"/>
          <w:sz w:val="24"/>
          <w:szCs w:val="24"/>
        </w:rPr>
        <w:t xml:space="preserve"> S. Skin-sparing mastectomy flap complications after breast reconstruction: review of incidence, management, and outcome. Ann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2003;50:249</w:t>
      </w:r>
      <w:proofErr w:type="gramEnd"/>
      <w:r w:rsidRPr="00A62F93">
        <w:rPr>
          <w:rFonts w:ascii="Times New Roman" w:eastAsia="Times New Roman" w:hAnsi="Times New Roman" w:cs="Times New Roman"/>
          <w:sz w:val="24"/>
          <w:szCs w:val="24"/>
        </w:rPr>
        <w:t>–255; discussion 255.</w:t>
      </w:r>
    </w:p>
    <w:p w:rsidR="00A62F93" w:rsidRPr="00A62F93" w:rsidRDefault="00A62F93" w:rsidP="00A62F93">
      <w:pPr>
        <w:numPr>
          <w:ilvl w:val="0"/>
          <w:numId w:val="8"/>
        </w:numPr>
        <w:spacing w:before="100" w:beforeAutospacing="1" w:after="100" w:afterAutospacing="1" w:line="240" w:lineRule="auto"/>
        <w:ind w:left="0"/>
        <w:rPr>
          <w:rFonts w:ascii="Times New Roman" w:eastAsia="Times New Roman" w:hAnsi="Times New Roman" w:cs="Times New Roman"/>
          <w:sz w:val="24"/>
          <w:szCs w:val="24"/>
        </w:rPr>
      </w:pPr>
      <w:hyperlink r:id="rId69" w:anchor="O7-5-5"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8"/>
        </w:numPr>
        <w:spacing w:before="100" w:beforeAutospacing="1" w:after="100" w:afterAutospacing="1" w:line="240" w:lineRule="auto"/>
        <w:ind w:left="0"/>
        <w:rPr>
          <w:rFonts w:ascii="Times New Roman" w:eastAsia="Times New Roman" w:hAnsi="Times New Roman" w:cs="Times New Roman"/>
          <w:sz w:val="24"/>
          <w:szCs w:val="24"/>
        </w:rPr>
      </w:pPr>
      <w:hyperlink r:id="rId70"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71"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"http://dx.doi.org/10.1097%2F01.SAP.0000046784.70583.E1"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8"/>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8"/>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8. </w:t>
      </w:r>
      <w:proofErr w:type="spellStart"/>
      <w:r w:rsidRPr="00A62F93">
        <w:rPr>
          <w:rFonts w:ascii="Times New Roman" w:eastAsia="Times New Roman" w:hAnsi="Times New Roman" w:cs="Times New Roman"/>
          <w:sz w:val="24"/>
          <w:szCs w:val="24"/>
        </w:rPr>
        <w:t>Pannucci</w:t>
      </w:r>
      <w:proofErr w:type="spellEnd"/>
      <w:r w:rsidRPr="00A62F93">
        <w:rPr>
          <w:rFonts w:ascii="Times New Roman" w:eastAsia="Times New Roman" w:hAnsi="Times New Roman" w:cs="Times New Roman"/>
          <w:sz w:val="24"/>
          <w:szCs w:val="24"/>
        </w:rPr>
        <w:t xml:space="preserve"> CJ, Antony AK, Wilkins EG. The impact of acellular dermal matrix on tissue expander/implant loss in breast reconstruction: an analysis of the tracking outcomes and operations in plastic surgery database.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Reconstr</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2013;132:1</w:t>
      </w:r>
      <w:proofErr w:type="gramEnd"/>
      <w:r w:rsidRPr="00A62F93">
        <w:rPr>
          <w:rFonts w:ascii="Times New Roman" w:eastAsia="Times New Roman" w:hAnsi="Times New Roman" w:cs="Times New Roman"/>
          <w:sz w:val="24"/>
          <w:szCs w:val="24"/>
        </w:rPr>
        <w:t>–10.</w:t>
      </w:r>
    </w:p>
    <w:p w:rsidR="00A62F93" w:rsidRPr="00A62F93" w:rsidRDefault="00A62F93" w:rsidP="00A62F93">
      <w:pPr>
        <w:numPr>
          <w:ilvl w:val="0"/>
          <w:numId w:val="9"/>
        </w:numPr>
        <w:spacing w:before="100" w:beforeAutospacing="1" w:after="100" w:afterAutospacing="1" w:line="240" w:lineRule="auto"/>
        <w:ind w:left="0"/>
        <w:rPr>
          <w:rFonts w:ascii="Times New Roman" w:eastAsia="Times New Roman" w:hAnsi="Times New Roman" w:cs="Times New Roman"/>
          <w:sz w:val="24"/>
          <w:szCs w:val="24"/>
        </w:rPr>
      </w:pPr>
      <w:hyperlink r:id="rId72" w:anchor="O7-5-5"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9"/>
        </w:numPr>
        <w:spacing w:before="100" w:beforeAutospacing="1" w:after="100" w:afterAutospacing="1" w:line="240" w:lineRule="auto"/>
        <w:ind w:left="0"/>
        <w:rPr>
          <w:rFonts w:ascii="Times New Roman" w:eastAsia="Times New Roman" w:hAnsi="Times New Roman" w:cs="Times New Roman"/>
          <w:sz w:val="24"/>
          <w:szCs w:val="24"/>
        </w:rPr>
      </w:pPr>
      <w:hyperlink r:id="rId73"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74"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"http://dx.doi.org/10.1097%2FPRS.0b013e318290f917"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9"/>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9"/>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9. Agarwal JP, Mendenhall SD, Anderson LA, et al. The breast reconstruction evaluation of acellular dermal matrix as a sling trial (</w:t>
      </w:r>
      <w:proofErr w:type="spellStart"/>
      <w:r w:rsidRPr="00A62F93">
        <w:rPr>
          <w:rFonts w:ascii="Times New Roman" w:eastAsia="Times New Roman" w:hAnsi="Times New Roman" w:cs="Times New Roman"/>
          <w:sz w:val="24"/>
          <w:szCs w:val="24"/>
        </w:rPr>
        <w:t>BREASTrial</w:t>
      </w:r>
      <w:proofErr w:type="spellEnd"/>
      <w:r w:rsidRPr="00A62F93">
        <w:rPr>
          <w:rFonts w:ascii="Times New Roman" w:eastAsia="Times New Roman" w:hAnsi="Times New Roman" w:cs="Times New Roman"/>
          <w:sz w:val="24"/>
          <w:szCs w:val="24"/>
        </w:rPr>
        <w:t xml:space="preserve">): design and methods of a prospective randomized trial.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Reconstr</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2015;135:20</w:t>
      </w:r>
      <w:proofErr w:type="gramEnd"/>
      <w:r w:rsidRPr="00A62F93">
        <w:rPr>
          <w:rFonts w:ascii="Times New Roman" w:eastAsia="Times New Roman" w:hAnsi="Times New Roman" w:cs="Times New Roman"/>
          <w:sz w:val="24"/>
          <w:szCs w:val="24"/>
        </w:rPr>
        <w:t>e–28e.</w:t>
      </w:r>
    </w:p>
    <w:p w:rsidR="00A62F93" w:rsidRPr="00A62F93" w:rsidRDefault="00A62F93" w:rsidP="00A62F93">
      <w:pPr>
        <w:numPr>
          <w:ilvl w:val="0"/>
          <w:numId w:val="10"/>
        </w:numPr>
        <w:spacing w:before="100" w:beforeAutospacing="1" w:after="100" w:afterAutospacing="1" w:line="240" w:lineRule="auto"/>
        <w:ind w:left="0"/>
        <w:rPr>
          <w:rFonts w:ascii="Times New Roman" w:eastAsia="Times New Roman" w:hAnsi="Times New Roman" w:cs="Times New Roman"/>
          <w:sz w:val="24"/>
          <w:szCs w:val="24"/>
        </w:rPr>
      </w:pPr>
      <w:hyperlink r:id="rId75" w:anchor="O7-5-5"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10"/>
        </w:numPr>
        <w:spacing w:before="100" w:beforeAutospacing="1" w:after="100" w:afterAutospacing="1" w:line="240" w:lineRule="auto"/>
        <w:ind w:left="0"/>
        <w:rPr>
          <w:rFonts w:ascii="Times New Roman" w:eastAsia="Times New Roman" w:hAnsi="Times New Roman" w:cs="Times New Roman"/>
          <w:sz w:val="24"/>
          <w:szCs w:val="24"/>
        </w:rPr>
      </w:pPr>
      <w:hyperlink r:id="rId76"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77"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"http://dx.doi.org/10.1097%2FPRS.0000000000000809"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10"/>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10"/>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10. Hoppe IC, Yueh JH, Wei CH, et al. Complications following expander/implant breast reconstruction utilizing acellular dermal matrix: a systematic review and meta-analysis. </w:t>
      </w:r>
      <w:proofErr w:type="spellStart"/>
      <w:r w:rsidRPr="00A62F93">
        <w:rPr>
          <w:rFonts w:ascii="Times New Roman" w:eastAsia="Times New Roman" w:hAnsi="Times New Roman" w:cs="Times New Roman"/>
          <w:sz w:val="24"/>
          <w:szCs w:val="24"/>
        </w:rPr>
        <w:t>Eplasty</w:t>
      </w:r>
      <w:proofErr w:type="spellEnd"/>
      <w:r w:rsidRPr="00A62F93">
        <w:rPr>
          <w:rFonts w:ascii="Times New Roman" w:eastAsia="Times New Roman" w:hAnsi="Times New Roman" w:cs="Times New Roman"/>
          <w:sz w:val="24"/>
          <w:szCs w:val="24"/>
        </w:rPr>
        <w:t>. 2011;</w:t>
      </w:r>
      <w:proofErr w:type="gramStart"/>
      <w:r w:rsidRPr="00A62F93">
        <w:rPr>
          <w:rFonts w:ascii="Times New Roman" w:eastAsia="Times New Roman" w:hAnsi="Times New Roman" w:cs="Times New Roman"/>
          <w:sz w:val="24"/>
          <w:szCs w:val="24"/>
        </w:rPr>
        <w:t>11:e</w:t>
      </w:r>
      <w:proofErr w:type="gramEnd"/>
      <w:r w:rsidRPr="00A62F93">
        <w:rPr>
          <w:rFonts w:ascii="Times New Roman" w:eastAsia="Times New Roman" w:hAnsi="Times New Roman" w:cs="Times New Roman"/>
          <w:sz w:val="24"/>
          <w:szCs w:val="24"/>
        </w:rPr>
        <w:t>40.</w:t>
      </w:r>
    </w:p>
    <w:p w:rsidR="00A62F93" w:rsidRPr="00A62F93" w:rsidRDefault="00A62F93" w:rsidP="00A62F93">
      <w:pPr>
        <w:numPr>
          <w:ilvl w:val="0"/>
          <w:numId w:val="11"/>
        </w:numPr>
        <w:spacing w:before="100" w:beforeAutospacing="1" w:after="100" w:afterAutospacing="1" w:line="240" w:lineRule="auto"/>
        <w:ind w:left="0"/>
        <w:rPr>
          <w:rFonts w:ascii="Times New Roman" w:eastAsia="Times New Roman" w:hAnsi="Times New Roman" w:cs="Times New Roman"/>
          <w:sz w:val="24"/>
          <w:szCs w:val="24"/>
        </w:rPr>
      </w:pPr>
      <w:hyperlink r:id="rId78" w:anchor="O7-5-5" w:history="1">
        <w:r w:rsidRPr="00A62F93">
          <w:rPr>
            <w:rFonts w:ascii="Times New Roman" w:eastAsia="Times New Roman" w:hAnsi="Times New Roman" w:cs="Times New Roman"/>
            <w:color w:val="113273"/>
            <w:sz w:val="24"/>
            <w:szCs w:val="24"/>
            <w:u w:val="single"/>
          </w:rPr>
          <w:t>Cited Here...</w:t>
        </w:r>
      </w:hyperlink>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11. Ho G, Nguyen TJ, </w:t>
      </w:r>
      <w:proofErr w:type="spellStart"/>
      <w:r w:rsidRPr="00A62F93">
        <w:rPr>
          <w:rFonts w:ascii="Times New Roman" w:eastAsia="Times New Roman" w:hAnsi="Times New Roman" w:cs="Times New Roman"/>
          <w:sz w:val="24"/>
          <w:szCs w:val="24"/>
        </w:rPr>
        <w:t>Shahabi</w:t>
      </w:r>
      <w:proofErr w:type="spellEnd"/>
      <w:r w:rsidRPr="00A62F93">
        <w:rPr>
          <w:rFonts w:ascii="Times New Roman" w:eastAsia="Times New Roman" w:hAnsi="Times New Roman" w:cs="Times New Roman"/>
          <w:sz w:val="24"/>
          <w:szCs w:val="24"/>
        </w:rPr>
        <w:t xml:space="preserve"> A, et al. A systematic review and meta-analysis of complications associated with acellular dermal matrix-assisted breast reconstruction. Ann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2012;68:346</w:t>
      </w:r>
      <w:proofErr w:type="gramEnd"/>
      <w:r w:rsidRPr="00A62F93">
        <w:rPr>
          <w:rFonts w:ascii="Times New Roman" w:eastAsia="Times New Roman" w:hAnsi="Times New Roman" w:cs="Times New Roman"/>
          <w:sz w:val="24"/>
          <w:szCs w:val="24"/>
        </w:rPr>
        <w:t>–356.</w:t>
      </w:r>
    </w:p>
    <w:p w:rsidR="00A62F93" w:rsidRPr="00A62F93" w:rsidRDefault="00A62F93" w:rsidP="00A62F93">
      <w:pPr>
        <w:numPr>
          <w:ilvl w:val="0"/>
          <w:numId w:val="12"/>
        </w:numPr>
        <w:spacing w:before="100" w:beforeAutospacing="1" w:after="100" w:afterAutospacing="1" w:line="240" w:lineRule="auto"/>
        <w:ind w:left="0"/>
        <w:rPr>
          <w:rFonts w:ascii="Times New Roman" w:eastAsia="Times New Roman" w:hAnsi="Times New Roman" w:cs="Times New Roman"/>
          <w:sz w:val="24"/>
          <w:szCs w:val="24"/>
        </w:rPr>
      </w:pPr>
      <w:hyperlink r:id="rId79" w:anchor="O7-5-5"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12"/>
        </w:numPr>
        <w:spacing w:before="100" w:beforeAutospacing="1" w:after="100" w:afterAutospacing="1" w:line="240" w:lineRule="auto"/>
        <w:ind w:left="0"/>
        <w:rPr>
          <w:rFonts w:ascii="Times New Roman" w:eastAsia="Times New Roman" w:hAnsi="Times New Roman" w:cs="Times New Roman"/>
          <w:sz w:val="24"/>
          <w:szCs w:val="24"/>
        </w:rPr>
      </w:pPr>
      <w:hyperlink r:id="rId80"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81"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"http://dx.doi.org/10.1097%2FSAP.0b013e31823f3cd9"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12"/>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12"/>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12. Becker S, Saint-Cyr M, Wong C, et al. </w:t>
      </w:r>
      <w:proofErr w:type="spellStart"/>
      <w:r w:rsidRPr="00A62F93">
        <w:rPr>
          <w:rFonts w:ascii="Times New Roman" w:eastAsia="Times New Roman" w:hAnsi="Times New Roman" w:cs="Times New Roman"/>
          <w:sz w:val="24"/>
          <w:szCs w:val="24"/>
        </w:rPr>
        <w:t>AlloDerm</w:t>
      </w:r>
      <w:proofErr w:type="spellEnd"/>
      <w:r w:rsidRPr="00A62F93">
        <w:rPr>
          <w:rFonts w:ascii="Times New Roman" w:eastAsia="Times New Roman" w:hAnsi="Times New Roman" w:cs="Times New Roman"/>
          <w:sz w:val="24"/>
          <w:szCs w:val="24"/>
        </w:rPr>
        <w:t xml:space="preserve"> versus </w:t>
      </w:r>
      <w:proofErr w:type="spellStart"/>
      <w:r w:rsidRPr="00A62F93">
        <w:rPr>
          <w:rFonts w:ascii="Times New Roman" w:eastAsia="Times New Roman" w:hAnsi="Times New Roman" w:cs="Times New Roman"/>
          <w:sz w:val="24"/>
          <w:szCs w:val="24"/>
        </w:rPr>
        <w:t>DermaMatrix</w:t>
      </w:r>
      <w:proofErr w:type="spellEnd"/>
      <w:r w:rsidRPr="00A62F93">
        <w:rPr>
          <w:rFonts w:ascii="Times New Roman" w:eastAsia="Times New Roman" w:hAnsi="Times New Roman" w:cs="Times New Roman"/>
          <w:sz w:val="24"/>
          <w:szCs w:val="24"/>
        </w:rPr>
        <w:t xml:space="preserve"> in immediate expander-based breast reconstruction: a preliminary comparison of complication profiles and material compliance.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Reconstr</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2009;123:1</w:t>
      </w:r>
      <w:proofErr w:type="gramEnd"/>
      <w:r w:rsidRPr="00A62F93">
        <w:rPr>
          <w:rFonts w:ascii="Times New Roman" w:eastAsia="Times New Roman" w:hAnsi="Times New Roman" w:cs="Times New Roman"/>
          <w:sz w:val="24"/>
          <w:szCs w:val="24"/>
        </w:rPr>
        <w:t>–6; discussion 107.</w:t>
      </w:r>
    </w:p>
    <w:p w:rsidR="00A62F93" w:rsidRPr="00A62F93" w:rsidRDefault="00A62F93" w:rsidP="00A62F93">
      <w:pPr>
        <w:numPr>
          <w:ilvl w:val="0"/>
          <w:numId w:val="13"/>
        </w:numPr>
        <w:spacing w:before="100" w:beforeAutospacing="1" w:after="100" w:afterAutospacing="1" w:line="240" w:lineRule="auto"/>
        <w:ind w:left="0"/>
        <w:rPr>
          <w:rFonts w:ascii="Times New Roman" w:eastAsia="Times New Roman" w:hAnsi="Times New Roman" w:cs="Times New Roman"/>
          <w:sz w:val="24"/>
          <w:szCs w:val="24"/>
        </w:rPr>
      </w:pPr>
      <w:hyperlink r:id="rId82" w:anchor="O7-5-5"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13"/>
        </w:numPr>
        <w:spacing w:before="100" w:beforeAutospacing="1" w:after="100" w:afterAutospacing="1" w:line="240" w:lineRule="auto"/>
        <w:ind w:left="0"/>
        <w:rPr>
          <w:rFonts w:ascii="Times New Roman" w:eastAsia="Times New Roman" w:hAnsi="Times New Roman" w:cs="Times New Roman"/>
          <w:sz w:val="24"/>
          <w:szCs w:val="24"/>
        </w:rPr>
      </w:pPr>
      <w:hyperlink r:id="rId83"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84"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"http://dx.doi.org/10.1097%2FPRS.0b013e3181904bff"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13"/>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13"/>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13. Seth AK, </w:t>
      </w:r>
      <w:proofErr w:type="spellStart"/>
      <w:r w:rsidRPr="00A62F93">
        <w:rPr>
          <w:rFonts w:ascii="Times New Roman" w:eastAsia="Times New Roman" w:hAnsi="Times New Roman" w:cs="Times New Roman"/>
          <w:sz w:val="24"/>
          <w:szCs w:val="24"/>
        </w:rPr>
        <w:t>Persing</w:t>
      </w:r>
      <w:proofErr w:type="spellEnd"/>
      <w:r w:rsidRPr="00A62F93">
        <w:rPr>
          <w:rFonts w:ascii="Times New Roman" w:eastAsia="Times New Roman" w:hAnsi="Times New Roman" w:cs="Times New Roman"/>
          <w:sz w:val="24"/>
          <w:szCs w:val="24"/>
        </w:rPr>
        <w:t xml:space="preserve"> S, Connor CM, et al. A comparative analysis of cryopreserved versus </w:t>
      </w:r>
      <w:proofErr w:type="spellStart"/>
      <w:r w:rsidRPr="00A62F93">
        <w:rPr>
          <w:rFonts w:ascii="Times New Roman" w:eastAsia="Times New Roman" w:hAnsi="Times New Roman" w:cs="Times New Roman"/>
          <w:sz w:val="24"/>
          <w:szCs w:val="24"/>
        </w:rPr>
        <w:t>prehydrated</w:t>
      </w:r>
      <w:proofErr w:type="spellEnd"/>
      <w:r w:rsidRPr="00A62F93">
        <w:rPr>
          <w:rFonts w:ascii="Times New Roman" w:eastAsia="Times New Roman" w:hAnsi="Times New Roman" w:cs="Times New Roman"/>
          <w:sz w:val="24"/>
          <w:szCs w:val="24"/>
        </w:rPr>
        <w:t xml:space="preserve"> human acellular dermal matrices in tissue expander breast reconstruction. Ann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2013;70:632</w:t>
      </w:r>
      <w:proofErr w:type="gramEnd"/>
      <w:r w:rsidRPr="00A62F93">
        <w:rPr>
          <w:rFonts w:ascii="Times New Roman" w:eastAsia="Times New Roman" w:hAnsi="Times New Roman" w:cs="Times New Roman"/>
          <w:sz w:val="24"/>
          <w:szCs w:val="24"/>
        </w:rPr>
        <w:t>–635.</w:t>
      </w:r>
    </w:p>
    <w:p w:rsidR="00A62F93" w:rsidRPr="00A62F93" w:rsidRDefault="00A62F93" w:rsidP="00A62F93">
      <w:pPr>
        <w:numPr>
          <w:ilvl w:val="0"/>
          <w:numId w:val="14"/>
        </w:numPr>
        <w:spacing w:before="100" w:beforeAutospacing="1" w:after="100" w:afterAutospacing="1" w:line="240" w:lineRule="auto"/>
        <w:ind w:left="0"/>
        <w:rPr>
          <w:rFonts w:ascii="Times New Roman" w:eastAsia="Times New Roman" w:hAnsi="Times New Roman" w:cs="Times New Roman"/>
          <w:sz w:val="24"/>
          <w:szCs w:val="24"/>
        </w:rPr>
      </w:pPr>
      <w:hyperlink r:id="rId85" w:anchor="O7-5-5"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14"/>
        </w:numPr>
        <w:spacing w:before="100" w:beforeAutospacing="1" w:after="100" w:afterAutospacing="1" w:line="240" w:lineRule="auto"/>
        <w:ind w:left="0"/>
        <w:rPr>
          <w:rFonts w:ascii="Times New Roman" w:eastAsia="Times New Roman" w:hAnsi="Times New Roman" w:cs="Times New Roman"/>
          <w:sz w:val="24"/>
          <w:szCs w:val="24"/>
        </w:rPr>
      </w:pPr>
      <w:hyperlink r:id="rId86"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87"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"http://dx.doi.org/10.1097%2FSAP.0b013e318250f0b4"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14"/>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14"/>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14. Brooke S, Mesa J, </w:t>
      </w:r>
      <w:proofErr w:type="spellStart"/>
      <w:r w:rsidRPr="00A62F93">
        <w:rPr>
          <w:rFonts w:ascii="Times New Roman" w:eastAsia="Times New Roman" w:hAnsi="Times New Roman" w:cs="Times New Roman"/>
          <w:sz w:val="24"/>
          <w:szCs w:val="24"/>
        </w:rPr>
        <w:t>Uluer</w:t>
      </w:r>
      <w:proofErr w:type="spellEnd"/>
      <w:r w:rsidRPr="00A62F93">
        <w:rPr>
          <w:rFonts w:ascii="Times New Roman" w:eastAsia="Times New Roman" w:hAnsi="Times New Roman" w:cs="Times New Roman"/>
          <w:sz w:val="24"/>
          <w:szCs w:val="24"/>
        </w:rPr>
        <w:t xml:space="preserve"> M, et al. Complications in tissue expander breast reconstruction: a comparison of </w:t>
      </w:r>
      <w:proofErr w:type="spellStart"/>
      <w:r w:rsidRPr="00A62F93">
        <w:rPr>
          <w:rFonts w:ascii="Times New Roman" w:eastAsia="Times New Roman" w:hAnsi="Times New Roman" w:cs="Times New Roman"/>
          <w:sz w:val="24"/>
          <w:szCs w:val="24"/>
        </w:rPr>
        <w:t>AlloDerm</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DermaMatrix</w:t>
      </w:r>
      <w:proofErr w:type="spellEnd"/>
      <w:r w:rsidRPr="00A62F93">
        <w:rPr>
          <w:rFonts w:ascii="Times New Roman" w:eastAsia="Times New Roman" w:hAnsi="Times New Roman" w:cs="Times New Roman"/>
          <w:sz w:val="24"/>
          <w:szCs w:val="24"/>
        </w:rPr>
        <w:t xml:space="preserve">, and </w:t>
      </w:r>
      <w:proofErr w:type="spellStart"/>
      <w:r w:rsidRPr="00A62F93">
        <w:rPr>
          <w:rFonts w:ascii="Times New Roman" w:eastAsia="Times New Roman" w:hAnsi="Times New Roman" w:cs="Times New Roman"/>
          <w:sz w:val="24"/>
          <w:szCs w:val="24"/>
        </w:rPr>
        <w:t>FlexHD</w:t>
      </w:r>
      <w:proofErr w:type="spellEnd"/>
      <w:r w:rsidRPr="00A62F93">
        <w:rPr>
          <w:rFonts w:ascii="Times New Roman" w:eastAsia="Times New Roman" w:hAnsi="Times New Roman" w:cs="Times New Roman"/>
          <w:sz w:val="24"/>
          <w:szCs w:val="24"/>
        </w:rPr>
        <w:t xml:space="preserve"> acellular inferior pole dermal slings. Ann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2012;69:347</w:t>
      </w:r>
      <w:proofErr w:type="gramEnd"/>
      <w:r w:rsidRPr="00A62F93">
        <w:rPr>
          <w:rFonts w:ascii="Times New Roman" w:eastAsia="Times New Roman" w:hAnsi="Times New Roman" w:cs="Times New Roman"/>
          <w:sz w:val="24"/>
          <w:szCs w:val="24"/>
        </w:rPr>
        <w:t>–349.</w:t>
      </w:r>
    </w:p>
    <w:p w:rsidR="00A62F93" w:rsidRPr="00A62F93" w:rsidRDefault="00A62F93" w:rsidP="00A62F93">
      <w:pPr>
        <w:numPr>
          <w:ilvl w:val="0"/>
          <w:numId w:val="15"/>
        </w:numPr>
        <w:spacing w:before="100" w:beforeAutospacing="1" w:after="100" w:afterAutospacing="1" w:line="240" w:lineRule="auto"/>
        <w:ind w:left="0"/>
        <w:rPr>
          <w:rFonts w:ascii="Times New Roman" w:eastAsia="Times New Roman" w:hAnsi="Times New Roman" w:cs="Times New Roman"/>
          <w:sz w:val="24"/>
          <w:szCs w:val="24"/>
        </w:rPr>
      </w:pPr>
      <w:hyperlink r:id="rId88" w:anchor="O7-5-5"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15"/>
        </w:numPr>
        <w:spacing w:before="100" w:beforeAutospacing="1" w:after="100" w:afterAutospacing="1" w:line="240" w:lineRule="auto"/>
        <w:ind w:left="0"/>
        <w:rPr>
          <w:rFonts w:ascii="Times New Roman" w:eastAsia="Times New Roman" w:hAnsi="Times New Roman" w:cs="Times New Roman"/>
          <w:sz w:val="24"/>
          <w:szCs w:val="24"/>
        </w:rPr>
      </w:pPr>
      <w:hyperlink r:id="rId89"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90"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"http://dx.doi.org/10.1097%2FSAP.0b013e31824b3d97"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15"/>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15"/>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15. Liu DZ, </w:t>
      </w:r>
      <w:proofErr w:type="spellStart"/>
      <w:r w:rsidRPr="00A62F93">
        <w:rPr>
          <w:rFonts w:ascii="Times New Roman" w:eastAsia="Times New Roman" w:hAnsi="Times New Roman" w:cs="Times New Roman"/>
          <w:sz w:val="24"/>
          <w:szCs w:val="24"/>
        </w:rPr>
        <w:t>Mathes</w:t>
      </w:r>
      <w:proofErr w:type="spellEnd"/>
      <w:r w:rsidRPr="00A62F93">
        <w:rPr>
          <w:rFonts w:ascii="Times New Roman" w:eastAsia="Times New Roman" w:hAnsi="Times New Roman" w:cs="Times New Roman"/>
          <w:sz w:val="24"/>
          <w:szCs w:val="24"/>
        </w:rPr>
        <w:t xml:space="preserve"> DW, </w:t>
      </w:r>
      <w:proofErr w:type="spellStart"/>
      <w:r w:rsidRPr="00A62F93">
        <w:rPr>
          <w:rFonts w:ascii="Times New Roman" w:eastAsia="Times New Roman" w:hAnsi="Times New Roman" w:cs="Times New Roman"/>
          <w:sz w:val="24"/>
          <w:szCs w:val="24"/>
        </w:rPr>
        <w:t>Neligan</w:t>
      </w:r>
      <w:proofErr w:type="spellEnd"/>
      <w:r w:rsidRPr="00A62F93">
        <w:rPr>
          <w:rFonts w:ascii="Times New Roman" w:eastAsia="Times New Roman" w:hAnsi="Times New Roman" w:cs="Times New Roman"/>
          <w:sz w:val="24"/>
          <w:szCs w:val="24"/>
        </w:rPr>
        <w:t xml:space="preserve"> PC, et al. Comparison of outcomes using </w:t>
      </w:r>
      <w:proofErr w:type="spellStart"/>
      <w:r w:rsidRPr="00A62F93">
        <w:rPr>
          <w:rFonts w:ascii="Times New Roman" w:eastAsia="Times New Roman" w:hAnsi="Times New Roman" w:cs="Times New Roman"/>
          <w:sz w:val="24"/>
          <w:szCs w:val="24"/>
        </w:rPr>
        <w:t>AlloDerm</w:t>
      </w:r>
      <w:proofErr w:type="spellEnd"/>
      <w:r w:rsidRPr="00A62F93">
        <w:rPr>
          <w:rFonts w:ascii="Times New Roman" w:eastAsia="Times New Roman" w:hAnsi="Times New Roman" w:cs="Times New Roman"/>
          <w:sz w:val="24"/>
          <w:szCs w:val="24"/>
        </w:rPr>
        <w:t xml:space="preserve"> versus </w:t>
      </w:r>
      <w:proofErr w:type="spellStart"/>
      <w:r w:rsidRPr="00A62F93">
        <w:rPr>
          <w:rFonts w:ascii="Times New Roman" w:eastAsia="Times New Roman" w:hAnsi="Times New Roman" w:cs="Times New Roman"/>
          <w:sz w:val="24"/>
          <w:szCs w:val="24"/>
        </w:rPr>
        <w:t>FlexHD</w:t>
      </w:r>
      <w:proofErr w:type="spellEnd"/>
      <w:r w:rsidRPr="00A62F93">
        <w:rPr>
          <w:rFonts w:ascii="Times New Roman" w:eastAsia="Times New Roman" w:hAnsi="Times New Roman" w:cs="Times New Roman"/>
          <w:sz w:val="24"/>
          <w:szCs w:val="24"/>
        </w:rPr>
        <w:t xml:space="preserve"> for implant-based breast reconstruction. Ann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2014;72:503</w:t>
      </w:r>
      <w:proofErr w:type="gramEnd"/>
      <w:r w:rsidRPr="00A62F93">
        <w:rPr>
          <w:rFonts w:ascii="Times New Roman" w:eastAsia="Times New Roman" w:hAnsi="Times New Roman" w:cs="Times New Roman"/>
          <w:sz w:val="24"/>
          <w:szCs w:val="24"/>
        </w:rPr>
        <w:t>–507.</w:t>
      </w:r>
    </w:p>
    <w:p w:rsidR="00A62F93" w:rsidRPr="00A62F93" w:rsidRDefault="00A62F93" w:rsidP="00A62F93">
      <w:pPr>
        <w:numPr>
          <w:ilvl w:val="0"/>
          <w:numId w:val="16"/>
        </w:numPr>
        <w:spacing w:before="100" w:beforeAutospacing="1" w:after="100" w:afterAutospacing="1" w:line="240" w:lineRule="auto"/>
        <w:ind w:left="0"/>
        <w:rPr>
          <w:rFonts w:ascii="Times New Roman" w:eastAsia="Times New Roman" w:hAnsi="Times New Roman" w:cs="Times New Roman"/>
          <w:sz w:val="24"/>
          <w:szCs w:val="24"/>
        </w:rPr>
      </w:pPr>
      <w:hyperlink r:id="rId91" w:anchor="O7-5-5"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16"/>
        </w:numPr>
        <w:spacing w:before="100" w:beforeAutospacing="1" w:after="100" w:afterAutospacing="1" w:line="240" w:lineRule="auto"/>
        <w:ind w:left="0"/>
        <w:rPr>
          <w:rFonts w:ascii="Times New Roman" w:eastAsia="Times New Roman" w:hAnsi="Times New Roman" w:cs="Times New Roman"/>
          <w:sz w:val="24"/>
          <w:szCs w:val="24"/>
        </w:rPr>
      </w:pPr>
      <w:hyperlink r:id="rId92"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93"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"http://dx.doi.org/10.1097%2FSAP.0b013e318268a87c"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16"/>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16"/>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16. Garwood ER, Moore D, Ewing C, et al. Total skin-sparing mastectomy: complications and local recurrence rates in 2 cohorts of patients. Ann Surg. </w:t>
      </w:r>
      <w:proofErr w:type="gramStart"/>
      <w:r w:rsidRPr="00A62F93">
        <w:rPr>
          <w:rFonts w:ascii="Times New Roman" w:eastAsia="Times New Roman" w:hAnsi="Times New Roman" w:cs="Times New Roman"/>
          <w:sz w:val="24"/>
          <w:szCs w:val="24"/>
        </w:rPr>
        <w:t>2009;249:26</w:t>
      </w:r>
      <w:proofErr w:type="gramEnd"/>
      <w:r w:rsidRPr="00A62F93">
        <w:rPr>
          <w:rFonts w:ascii="Times New Roman" w:eastAsia="Times New Roman" w:hAnsi="Times New Roman" w:cs="Times New Roman"/>
          <w:sz w:val="24"/>
          <w:szCs w:val="24"/>
        </w:rPr>
        <w:t>–32.</w:t>
      </w:r>
    </w:p>
    <w:p w:rsidR="00A62F93" w:rsidRPr="00A62F93" w:rsidRDefault="00A62F93" w:rsidP="00A62F93">
      <w:pPr>
        <w:numPr>
          <w:ilvl w:val="0"/>
          <w:numId w:val="17"/>
        </w:numPr>
        <w:spacing w:before="100" w:beforeAutospacing="1" w:after="100" w:afterAutospacing="1" w:line="240" w:lineRule="auto"/>
        <w:ind w:left="0"/>
        <w:rPr>
          <w:rFonts w:ascii="Times New Roman" w:eastAsia="Times New Roman" w:hAnsi="Times New Roman" w:cs="Times New Roman"/>
          <w:sz w:val="24"/>
          <w:szCs w:val="24"/>
        </w:rPr>
      </w:pPr>
      <w:hyperlink r:id="rId94" w:anchor="O7-5-6"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17"/>
        </w:numPr>
        <w:spacing w:before="100" w:beforeAutospacing="1" w:after="100" w:afterAutospacing="1" w:line="240" w:lineRule="auto"/>
        <w:ind w:left="0"/>
        <w:rPr>
          <w:rFonts w:ascii="Times New Roman" w:eastAsia="Times New Roman" w:hAnsi="Times New Roman" w:cs="Times New Roman"/>
          <w:sz w:val="24"/>
          <w:szCs w:val="24"/>
        </w:rPr>
      </w:pPr>
      <w:hyperlink r:id="rId95"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96" w:tgtFrame="_blank" w:history="1">
        <w:r w:rsidRPr="00A62F93">
          <w:rPr>
            <w:rFonts w:ascii="Times New Roman" w:eastAsia="Times New Roman" w:hAnsi="Times New Roman" w:cs="Times New Roman"/>
            <w:color w:val="113273"/>
            <w:sz w:val="24"/>
            <w:szCs w:val="24"/>
            <w:u w:val="single"/>
          </w:rPr>
          <w:t>PubMed</w:t>
        </w:r>
      </w:hyperlink>
    </w:p>
    <w:p w:rsidR="00A62F93" w:rsidRPr="00A62F93" w:rsidRDefault="00A62F93" w:rsidP="00A62F93">
      <w:pPr>
        <w:numPr>
          <w:ilvl w:val="0"/>
          <w:numId w:val="17"/>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17. Chun YS, Verma K, Rosen H, et al. Use of tumescent mastectomy technique as a risk factor for native breast skin flap necrosis following immediate breast reconstruction. Am J Surg. </w:t>
      </w:r>
      <w:proofErr w:type="gramStart"/>
      <w:r w:rsidRPr="00A62F93">
        <w:rPr>
          <w:rFonts w:ascii="Times New Roman" w:eastAsia="Times New Roman" w:hAnsi="Times New Roman" w:cs="Times New Roman"/>
          <w:sz w:val="24"/>
          <w:szCs w:val="24"/>
        </w:rPr>
        <w:t>2011;201:160</w:t>
      </w:r>
      <w:proofErr w:type="gramEnd"/>
      <w:r w:rsidRPr="00A62F93">
        <w:rPr>
          <w:rFonts w:ascii="Times New Roman" w:eastAsia="Times New Roman" w:hAnsi="Times New Roman" w:cs="Times New Roman"/>
          <w:sz w:val="24"/>
          <w:szCs w:val="24"/>
        </w:rPr>
        <w:t>–165.</w:t>
      </w:r>
    </w:p>
    <w:p w:rsidR="00A62F93" w:rsidRPr="00A62F93" w:rsidRDefault="00A62F93" w:rsidP="00A62F93">
      <w:pPr>
        <w:numPr>
          <w:ilvl w:val="0"/>
          <w:numId w:val="18"/>
        </w:numPr>
        <w:spacing w:before="100" w:beforeAutospacing="1" w:after="100" w:afterAutospacing="1" w:line="240" w:lineRule="auto"/>
        <w:ind w:left="0"/>
        <w:rPr>
          <w:rFonts w:ascii="Times New Roman" w:eastAsia="Times New Roman" w:hAnsi="Times New Roman" w:cs="Times New Roman"/>
          <w:sz w:val="24"/>
          <w:szCs w:val="24"/>
        </w:rPr>
      </w:pPr>
      <w:hyperlink r:id="rId97" w:anchor="O7-5-6"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18"/>
        </w:numPr>
        <w:spacing w:before="100" w:beforeAutospacing="1" w:after="100" w:afterAutospacing="1" w:line="240" w:lineRule="auto"/>
        <w:ind w:left="0"/>
        <w:rPr>
          <w:rFonts w:ascii="Times New Roman" w:eastAsia="Times New Roman" w:hAnsi="Times New Roman" w:cs="Times New Roman"/>
          <w:sz w:val="24"/>
          <w:szCs w:val="24"/>
        </w:rPr>
      </w:pPr>
      <w:hyperlink r:id="rId98"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"http://dx.doi.org/10.1016%2Fj.amjsurg.2009.12.011"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18"/>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lastRenderedPageBreak/>
        <w:t xml:space="preserve">18. </w:t>
      </w:r>
      <w:proofErr w:type="spellStart"/>
      <w:r w:rsidRPr="00A62F93">
        <w:rPr>
          <w:rFonts w:ascii="Times New Roman" w:eastAsia="Times New Roman" w:hAnsi="Times New Roman" w:cs="Times New Roman"/>
          <w:sz w:val="24"/>
          <w:szCs w:val="24"/>
        </w:rPr>
        <w:t>Reish</w:t>
      </w:r>
      <w:proofErr w:type="spellEnd"/>
      <w:r w:rsidRPr="00A62F93">
        <w:rPr>
          <w:rFonts w:ascii="Times New Roman" w:eastAsia="Times New Roman" w:hAnsi="Times New Roman" w:cs="Times New Roman"/>
          <w:sz w:val="24"/>
          <w:szCs w:val="24"/>
        </w:rPr>
        <w:t xml:space="preserve"> RG, Damjanovic B, Austen WG Jr, et al. Infection following implant-based reconstruction in 1952 consecutive breast reconstructions: salvage rates and predictors of success.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Reconstr</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2013;131:1223</w:t>
      </w:r>
      <w:proofErr w:type="gramEnd"/>
      <w:r w:rsidRPr="00A62F93">
        <w:rPr>
          <w:rFonts w:ascii="Times New Roman" w:eastAsia="Times New Roman" w:hAnsi="Times New Roman" w:cs="Times New Roman"/>
          <w:sz w:val="24"/>
          <w:szCs w:val="24"/>
        </w:rPr>
        <w:t>–1230.</w:t>
      </w:r>
    </w:p>
    <w:p w:rsidR="00A62F93" w:rsidRPr="00A62F93" w:rsidRDefault="00A62F93" w:rsidP="00A62F93">
      <w:pPr>
        <w:numPr>
          <w:ilvl w:val="0"/>
          <w:numId w:val="19"/>
        </w:numPr>
        <w:spacing w:before="100" w:beforeAutospacing="1" w:after="100" w:afterAutospacing="1" w:line="240" w:lineRule="auto"/>
        <w:ind w:left="0"/>
        <w:rPr>
          <w:rFonts w:ascii="Times New Roman" w:eastAsia="Times New Roman" w:hAnsi="Times New Roman" w:cs="Times New Roman"/>
          <w:sz w:val="24"/>
          <w:szCs w:val="24"/>
        </w:rPr>
      </w:pPr>
      <w:hyperlink r:id="rId99" w:anchor="O7-5-6"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19"/>
        </w:numPr>
        <w:spacing w:before="100" w:beforeAutospacing="1" w:after="100" w:afterAutospacing="1" w:line="240" w:lineRule="auto"/>
        <w:ind w:left="0"/>
        <w:rPr>
          <w:rFonts w:ascii="Times New Roman" w:eastAsia="Times New Roman" w:hAnsi="Times New Roman" w:cs="Times New Roman"/>
          <w:sz w:val="24"/>
          <w:szCs w:val="24"/>
        </w:rPr>
      </w:pPr>
      <w:hyperlink r:id="rId100"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101"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"http://dx.doi.org/10.1097%2FPRS.0b013e31828bd377"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19"/>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19"/>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19. Davies K, Allan L, Roblin P, et al. Factors affecting post-operative complications following skin sparing mastectomy with immediate breast reconstruction. Breast. </w:t>
      </w:r>
      <w:proofErr w:type="gramStart"/>
      <w:r w:rsidRPr="00A62F93">
        <w:rPr>
          <w:rFonts w:ascii="Times New Roman" w:eastAsia="Times New Roman" w:hAnsi="Times New Roman" w:cs="Times New Roman"/>
          <w:sz w:val="24"/>
          <w:szCs w:val="24"/>
        </w:rPr>
        <w:t>2011;20:21</w:t>
      </w:r>
      <w:proofErr w:type="gramEnd"/>
      <w:r w:rsidRPr="00A62F93">
        <w:rPr>
          <w:rFonts w:ascii="Times New Roman" w:eastAsia="Times New Roman" w:hAnsi="Times New Roman" w:cs="Times New Roman"/>
          <w:sz w:val="24"/>
          <w:szCs w:val="24"/>
        </w:rPr>
        <w:t>–25.</w:t>
      </w:r>
    </w:p>
    <w:p w:rsidR="00A62F93" w:rsidRPr="00A62F93" w:rsidRDefault="00A62F93" w:rsidP="00A62F93">
      <w:pPr>
        <w:numPr>
          <w:ilvl w:val="0"/>
          <w:numId w:val="20"/>
        </w:numPr>
        <w:spacing w:before="100" w:beforeAutospacing="1" w:after="100" w:afterAutospacing="1" w:line="240" w:lineRule="auto"/>
        <w:ind w:left="0"/>
        <w:rPr>
          <w:rFonts w:ascii="Times New Roman" w:eastAsia="Times New Roman" w:hAnsi="Times New Roman" w:cs="Times New Roman"/>
          <w:sz w:val="24"/>
          <w:szCs w:val="24"/>
        </w:rPr>
      </w:pPr>
      <w:hyperlink r:id="rId102" w:anchor="O7-5-6"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20"/>
        </w:numPr>
        <w:spacing w:before="100" w:beforeAutospacing="1" w:after="100" w:afterAutospacing="1" w:line="240" w:lineRule="auto"/>
        <w:ind w:left="0"/>
        <w:rPr>
          <w:rFonts w:ascii="Times New Roman" w:eastAsia="Times New Roman" w:hAnsi="Times New Roman" w:cs="Times New Roman"/>
          <w:sz w:val="24"/>
          <w:szCs w:val="24"/>
        </w:rPr>
      </w:pPr>
      <w:hyperlink r:id="rId103"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"http://dx.doi.org/10.1016%2Fj.breast.2010.06.006"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20"/>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20. </w:t>
      </w:r>
      <w:proofErr w:type="spellStart"/>
      <w:r w:rsidRPr="00A62F93">
        <w:rPr>
          <w:rFonts w:ascii="Times New Roman" w:eastAsia="Times New Roman" w:hAnsi="Times New Roman" w:cs="Times New Roman"/>
          <w:sz w:val="24"/>
          <w:szCs w:val="24"/>
        </w:rPr>
        <w:t>Sbitany</w:t>
      </w:r>
      <w:proofErr w:type="spellEnd"/>
      <w:r w:rsidRPr="00A62F93">
        <w:rPr>
          <w:rFonts w:ascii="Times New Roman" w:eastAsia="Times New Roman" w:hAnsi="Times New Roman" w:cs="Times New Roman"/>
          <w:sz w:val="24"/>
          <w:szCs w:val="24"/>
        </w:rPr>
        <w:t xml:space="preserve"> H. Management of the post-breast reconstruction “</w:t>
      </w:r>
      <w:proofErr w:type="spellStart"/>
      <w:r w:rsidRPr="00A62F93">
        <w:rPr>
          <w:rFonts w:ascii="Times New Roman" w:eastAsia="Times New Roman" w:hAnsi="Times New Roman" w:cs="Times New Roman"/>
          <w:sz w:val="24"/>
          <w:szCs w:val="24"/>
        </w:rPr>
        <w:t>hyperanimation</w:t>
      </w:r>
      <w:proofErr w:type="spellEnd"/>
      <w:r w:rsidRPr="00A62F93">
        <w:rPr>
          <w:rFonts w:ascii="Times New Roman" w:eastAsia="Times New Roman" w:hAnsi="Times New Roman" w:cs="Times New Roman"/>
          <w:sz w:val="24"/>
          <w:szCs w:val="24"/>
        </w:rPr>
        <w:t xml:space="preserve"> deformity”.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Reconstr</w:t>
      </w:r>
      <w:proofErr w:type="spellEnd"/>
      <w:r w:rsidRPr="00A62F93">
        <w:rPr>
          <w:rFonts w:ascii="Times New Roman" w:eastAsia="Times New Roman" w:hAnsi="Times New Roman" w:cs="Times New Roman"/>
          <w:sz w:val="24"/>
          <w:szCs w:val="24"/>
        </w:rPr>
        <w:t xml:space="preserve"> Surg. </w:t>
      </w:r>
      <w:proofErr w:type="gramStart"/>
      <w:r w:rsidRPr="00A62F93">
        <w:rPr>
          <w:rFonts w:ascii="Times New Roman" w:eastAsia="Times New Roman" w:hAnsi="Times New Roman" w:cs="Times New Roman"/>
          <w:sz w:val="24"/>
          <w:szCs w:val="24"/>
        </w:rPr>
        <w:t>2014;133:897</w:t>
      </w:r>
      <w:proofErr w:type="gramEnd"/>
      <w:r w:rsidRPr="00A62F93">
        <w:rPr>
          <w:rFonts w:ascii="Times New Roman" w:eastAsia="Times New Roman" w:hAnsi="Times New Roman" w:cs="Times New Roman"/>
          <w:sz w:val="24"/>
          <w:szCs w:val="24"/>
        </w:rPr>
        <w:t>e–898e.</w:t>
      </w:r>
    </w:p>
    <w:p w:rsidR="00A62F93" w:rsidRPr="00A62F93" w:rsidRDefault="00A62F93" w:rsidP="00A62F93">
      <w:pPr>
        <w:numPr>
          <w:ilvl w:val="0"/>
          <w:numId w:val="21"/>
        </w:numPr>
        <w:spacing w:before="100" w:beforeAutospacing="1" w:after="100" w:afterAutospacing="1" w:line="240" w:lineRule="auto"/>
        <w:ind w:left="0"/>
        <w:rPr>
          <w:rFonts w:ascii="Times New Roman" w:eastAsia="Times New Roman" w:hAnsi="Times New Roman" w:cs="Times New Roman"/>
          <w:sz w:val="24"/>
          <w:szCs w:val="24"/>
        </w:rPr>
      </w:pPr>
      <w:hyperlink r:id="rId104" w:anchor="O7-5-10"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21"/>
        </w:numPr>
        <w:spacing w:before="100" w:beforeAutospacing="1" w:after="100" w:afterAutospacing="1" w:line="240" w:lineRule="auto"/>
        <w:ind w:left="0"/>
        <w:rPr>
          <w:rFonts w:ascii="Times New Roman" w:eastAsia="Times New Roman" w:hAnsi="Times New Roman" w:cs="Times New Roman"/>
          <w:sz w:val="24"/>
          <w:szCs w:val="24"/>
        </w:rPr>
      </w:pPr>
      <w:hyperlink r:id="rId105" w:tgtFrame="_blank" w:history="1">
        <w:r w:rsidRPr="00A62F93">
          <w:rPr>
            <w:rFonts w:ascii="Times New Roman" w:eastAsia="Times New Roman" w:hAnsi="Times New Roman" w:cs="Times New Roman"/>
            <w:color w:val="113273"/>
            <w:sz w:val="24"/>
            <w:szCs w:val="24"/>
            <w:u w:val="single"/>
          </w:rPr>
          <w:t>View Full Text</w:t>
        </w:r>
      </w:hyperlink>
      <w:r w:rsidRPr="00A62F93">
        <w:rPr>
          <w:rFonts w:ascii="Times New Roman" w:eastAsia="Times New Roman" w:hAnsi="Times New Roman" w:cs="Times New Roman"/>
          <w:sz w:val="24"/>
          <w:szCs w:val="24"/>
        </w:rPr>
        <w:t> | </w:t>
      </w:r>
      <w:hyperlink r:id="rId106"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"http://dx.doi.org/10.1097%2FPRS.0000000000000450"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21"/>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numPr>
          <w:ilvl w:val="0"/>
          <w:numId w:val="21"/>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after="0" w:line="240" w:lineRule="auto"/>
        <w:rPr>
          <w:rFonts w:ascii="Times New Roman" w:eastAsia="Times New Roman" w:hAnsi="Times New Roman" w:cs="Times New Roman"/>
          <w:sz w:val="24"/>
          <w:szCs w:val="24"/>
        </w:rPr>
      </w:pPr>
      <w:r w:rsidRPr="00A62F93">
        <w:rPr>
          <w:rFonts w:ascii="Times New Roman" w:eastAsia="Times New Roman" w:hAnsi="Times New Roman" w:cs="Times New Roman"/>
          <w:sz w:val="24"/>
          <w:szCs w:val="24"/>
        </w:rPr>
        <w:t xml:space="preserve">21. </w:t>
      </w:r>
      <w:proofErr w:type="spellStart"/>
      <w:r w:rsidRPr="00A62F93">
        <w:rPr>
          <w:rFonts w:ascii="Times New Roman" w:eastAsia="Times New Roman" w:hAnsi="Times New Roman" w:cs="Times New Roman"/>
          <w:sz w:val="24"/>
          <w:szCs w:val="24"/>
        </w:rPr>
        <w:t>Reitsamer</w:t>
      </w:r>
      <w:proofErr w:type="spellEnd"/>
      <w:r w:rsidRPr="00A62F93">
        <w:rPr>
          <w:rFonts w:ascii="Times New Roman" w:eastAsia="Times New Roman" w:hAnsi="Times New Roman" w:cs="Times New Roman"/>
          <w:sz w:val="24"/>
          <w:szCs w:val="24"/>
        </w:rPr>
        <w:t xml:space="preserve"> R, </w:t>
      </w:r>
      <w:proofErr w:type="spellStart"/>
      <w:r w:rsidRPr="00A62F93">
        <w:rPr>
          <w:rFonts w:ascii="Times New Roman" w:eastAsia="Times New Roman" w:hAnsi="Times New Roman" w:cs="Times New Roman"/>
          <w:sz w:val="24"/>
          <w:szCs w:val="24"/>
        </w:rPr>
        <w:t>Peintinger</w:t>
      </w:r>
      <w:proofErr w:type="spellEnd"/>
      <w:r w:rsidRPr="00A62F93">
        <w:rPr>
          <w:rFonts w:ascii="Times New Roman" w:eastAsia="Times New Roman" w:hAnsi="Times New Roman" w:cs="Times New Roman"/>
          <w:sz w:val="24"/>
          <w:szCs w:val="24"/>
        </w:rPr>
        <w:t xml:space="preserve"> F. </w:t>
      </w:r>
      <w:proofErr w:type="spellStart"/>
      <w:r w:rsidRPr="00A62F93">
        <w:rPr>
          <w:rFonts w:ascii="Times New Roman" w:eastAsia="Times New Roman" w:hAnsi="Times New Roman" w:cs="Times New Roman"/>
          <w:sz w:val="24"/>
          <w:szCs w:val="24"/>
        </w:rPr>
        <w:t>Prepectoral</w:t>
      </w:r>
      <w:proofErr w:type="spellEnd"/>
      <w:r w:rsidRPr="00A62F93">
        <w:rPr>
          <w:rFonts w:ascii="Times New Roman" w:eastAsia="Times New Roman" w:hAnsi="Times New Roman" w:cs="Times New Roman"/>
          <w:sz w:val="24"/>
          <w:szCs w:val="24"/>
        </w:rPr>
        <w:t xml:space="preserve"> implant placement and complete coverage with porcine acellular dermal matrix: a new technique for direct to-implant breast reconstruction after nipple-sparing mastectomy. J </w:t>
      </w:r>
      <w:proofErr w:type="spellStart"/>
      <w:r w:rsidRPr="00A62F93">
        <w:rPr>
          <w:rFonts w:ascii="Times New Roman" w:eastAsia="Times New Roman" w:hAnsi="Times New Roman" w:cs="Times New Roman"/>
          <w:sz w:val="24"/>
          <w:szCs w:val="24"/>
        </w:rPr>
        <w:t>Plast</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Reconstr</w:t>
      </w:r>
      <w:proofErr w:type="spellEnd"/>
      <w:r w:rsidRPr="00A62F93">
        <w:rPr>
          <w:rFonts w:ascii="Times New Roman" w:eastAsia="Times New Roman" w:hAnsi="Times New Roman" w:cs="Times New Roman"/>
          <w:sz w:val="24"/>
          <w:szCs w:val="24"/>
        </w:rPr>
        <w:t xml:space="preserve"> </w:t>
      </w:r>
      <w:proofErr w:type="spellStart"/>
      <w:r w:rsidRPr="00A62F93">
        <w:rPr>
          <w:rFonts w:ascii="Times New Roman" w:eastAsia="Times New Roman" w:hAnsi="Times New Roman" w:cs="Times New Roman"/>
          <w:sz w:val="24"/>
          <w:szCs w:val="24"/>
        </w:rPr>
        <w:t>Aesthet</w:t>
      </w:r>
      <w:proofErr w:type="spellEnd"/>
      <w:r w:rsidRPr="00A62F93">
        <w:rPr>
          <w:rFonts w:ascii="Times New Roman" w:eastAsia="Times New Roman" w:hAnsi="Times New Roman" w:cs="Times New Roman"/>
          <w:sz w:val="24"/>
          <w:szCs w:val="24"/>
        </w:rPr>
        <w:t xml:space="preserve"> Surg. 2015;68(2):162–167.</w:t>
      </w:r>
    </w:p>
    <w:p w:rsidR="00A62F93" w:rsidRPr="00A62F93" w:rsidRDefault="00A62F93" w:rsidP="00A62F93">
      <w:pPr>
        <w:numPr>
          <w:ilvl w:val="0"/>
          <w:numId w:val="22"/>
        </w:numPr>
        <w:spacing w:before="100" w:beforeAutospacing="1" w:after="100" w:afterAutospacing="1" w:line="240" w:lineRule="auto"/>
        <w:ind w:left="0"/>
        <w:rPr>
          <w:rFonts w:ascii="Times New Roman" w:eastAsia="Times New Roman" w:hAnsi="Times New Roman" w:cs="Times New Roman"/>
          <w:sz w:val="24"/>
          <w:szCs w:val="24"/>
        </w:rPr>
      </w:pPr>
      <w:hyperlink r:id="rId107" w:anchor="O7-5-15" w:history="1">
        <w:r w:rsidRPr="00A62F93">
          <w:rPr>
            <w:rFonts w:ascii="Times New Roman" w:eastAsia="Times New Roman" w:hAnsi="Times New Roman" w:cs="Times New Roman"/>
            <w:color w:val="113273"/>
            <w:sz w:val="24"/>
            <w:szCs w:val="24"/>
            <w:u w:val="single"/>
          </w:rPr>
          <w:t>Cited Here...</w:t>
        </w:r>
      </w:hyperlink>
      <w:r w:rsidRPr="00A62F93">
        <w:rPr>
          <w:rFonts w:ascii="Times New Roman" w:eastAsia="Times New Roman" w:hAnsi="Times New Roman" w:cs="Times New Roman"/>
          <w:sz w:val="24"/>
          <w:szCs w:val="24"/>
        </w:rPr>
        <w:t> |</w:t>
      </w:r>
    </w:p>
    <w:p w:rsidR="00A62F93" w:rsidRPr="00A62F93" w:rsidRDefault="00A62F93" w:rsidP="00A62F93">
      <w:pPr>
        <w:numPr>
          <w:ilvl w:val="0"/>
          <w:numId w:val="22"/>
        </w:numPr>
        <w:spacing w:before="100" w:beforeAutospacing="1" w:after="100" w:afterAutospacing="1" w:line="240" w:lineRule="auto"/>
        <w:ind w:left="0"/>
        <w:rPr>
          <w:rFonts w:ascii="Times New Roman" w:eastAsia="Times New Roman" w:hAnsi="Times New Roman" w:cs="Times New Roman"/>
          <w:sz w:val="24"/>
          <w:szCs w:val="24"/>
        </w:rPr>
      </w:pPr>
      <w:hyperlink r:id="rId108" w:tgtFrame="_blank" w:history="1">
        <w:r w:rsidRPr="00A62F93">
          <w:rPr>
            <w:rFonts w:ascii="Times New Roman" w:eastAsia="Times New Roman" w:hAnsi="Times New Roman" w:cs="Times New Roman"/>
            <w:color w:val="113273"/>
            <w:sz w:val="24"/>
            <w:szCs w:val="24"/>
            <w:u w:val="single"/>
          </w:rPr>
          <w:t>PubMed</w:t>
        </w:r>
      </w:hyperlink>
      <w:r w:rsidRPr="00A62F93">
        <w:rPr>
          <w:rFonts w:ascii="Times New Roman" w:eastAsia="Times New Roman" w:hAnsi="Times New Roman" w:cs="Times New Roman"/>
          <w:sz w:val="24"/>
          <w:szCs w:val="24"/>
        </w:rPr>
        <w:t> | </w:t>
      </w:r>
      <w:proofErr w:type="spellStart"/>
      <w:r w:rsidRPr="00A62F93">
        <w:rPr>
          <w:rFonts w:ascii="Times New Roman" w:eastAsia="Times New Roman" w:hAnsi="Times New Roman" w:cs="Times New Roman"/>
          <w:sz w:val="24"/>
          <w:szCs w:val="24"/>
        </w:rPr>
        <w:fldChar w:fldCharType="begin"/>
      </w:r>
      <w:r w:rsidRPr="00A62F93">
        <w:rPr>
          <w:rFonts w:ascii="Times New Roman" w:eastAsia="Times New Roman" w:hAnsi="Times New Roman" w:cs="Times New Roman"/>
          <w:sz w:val="24"/>
          <w:szCs w:val="24"/>
        </w:rPr>
        <w:instrText xml:space="preserve"> HYPERLINK "http://dx.doi.org/10.1016%2Fj.bjps.2014.10.012" \t "_blank" </w:instrText>
      </w:r>
      <w:r w:rsidRPr="00A62F93">
        <w:rPr>
          <w:rFonts w:ascii="Times New Roman" w:eastAsia="Times New Roman" w:hAnsi="Times New Roman" w:cs="Times New Roman"/>
          <w:sz w:val="24"/>
          <w:szCs w:val="24"/>
        </w:rPr>
        <w:fldChar w:fldCharType="separate"/>
      </w:r>
      <w:r w:rsidRPr="00A62F93">
        <w:rPr>
          <w:rFonts w:ascii="Times New Roman" w:eastAsia="Times New Roman" w:hAnsi="Times New Roman" w:cs="Times New Roman"/>
          <w:color w:val="113273"/>
          <w:sz w:val="24"/>
          <w:szCs w:val="24"/>
          <w:u w:val="single"/>
        </w:rPr>
        <w:t>CrossRef</w:t>
      </w:r>
      <w:proofErr w:type="spellEnd"/>
      <w:r w:rsidRPr="00A62F93">
        <w:rPr>
          <w:rFonts w:ascii="Times New Roman" w:eastAsia="Times New Roman" w:hAnsi="Times New Roman" w:cs="Times New Roman"/>
          <w:sz w:val="24"/>
          <w:szCs w:val="24"/>
        </w:rPr>
        <w:fldChar w:fldCharType="end"/>
      </w:r>
    </w:p>
    <w:p w:rsidR="00A62F93" w:rsidRPr="00A62F93" w:rsidRDefault="00A62F93" w:rsidP="00A62F93">
      <w:pPr>
        <w:numPr>
          <w:ilvl w:val="0"/>
          <w:numId w:val="22"/>
        </w:numPr>
        <w:spacing w:before="100" w:beforeAutospacing="1" w:after="100" w:afterAutospacing="1" w:line="240" w:lineRule="auto"/>
        <w:ind w:left="0"/>
        <w:rPr>
          <w:rFonts w:ascii="Times New Roman" w:eastAsia="Times New Roman" w:hAnsi="Times New Roman" w:cs="Times New Roman"/>
          <w:sz w:val="24"/>
          <w:szCs w:val="24"/>
        </w:rPr>
      </w:pPr>
    </w:p>
    <w:p w:rsidR="00A62F93" w:rsidRPr="00A62F93" w:rsidRDefault="00A62F93" w:rsidP="00A62F93">
      <w:pPr>
        <w:spacing w:before="100" w:beforeAutospacing="1" w:after="0" w:line="240" w:lineRule="auto"/>
        <w:outlineLvl w:val="1"/>
        <w:rPr>
          <w:rFonts w:ascii="Arial" w:eastAsia="Times New Roman" w:hAnsi="Arial" w:cs="Arial"/>
          <w:b/>
          <w:bCs/>
          <w:color w:val="3B3030"/>
          <w:sz w:val="36"/>
          <w:szCs w:val="36"/>
        </w:rPr>
      </w:pPr>
      <w:r w:rsidRPr="00A62F93">
        <w:rPr>
          <w:rFonts w:ascii="Arial" w:eastAsia="Times New Roman" w:hAnsi="Arial" w:cs="Arial"/>
          <w:b/>
          <w:bCs/>
          <w:color w:val="3B3030"/>
          <w:sz w:val="36"/>
          <w:szCs w:val="36"/>
        </w:rPr>
        <w:t>Supplemental Digital Content</w:t>
      </w:r>
    </w:p>
    <w:p w:rsidR="00A62F93" w:rsidRPr="00A62F93" w:rsidRDefault="00A62F93" w:rsidP="00A62F93">
      <w:pPr>
        <w:numPr>
          <w:ilvl w:val="0"/>
          <w:numId w:val="23"/>
        </w:numPr>
        <w:wordWrap w:val="0"/>
        <w:spacing w:before="100" w:beforeAutospacing="1" w:after="100" w:afterAutospacing="1" w:line="240" w:lineRule="auto"/>
        <w:ind w:left="0"/>
        <w:rPr>
          <w:rFonts w:ascii="Times New Roman" w:eastAsia="Times New Roman" w:hAnsi="Times New Roman" w:cs="Times New Roman"/>
          <w:sz w:val="24"/>
          <w:szCs w:val="24"/>
        </w:rPr>
      </w:pPr>
      <w:hyperlink r:id="rId109" w:tgtFrame="_blank" w:history="1">
        <w:r w:rsidRPr="00A62F93">
          <w:rPr>
            <w:rFonts w:ascii="Times New Roman" w:eastAsia="Times New Roman" w:hAnsi="Times New Roman" w:cs="Times New Roman"/>
            <w:color w:val="867C9C"/>
            <w:sz w:val="24"/>
            <w:szCs w:val="24"/>
            <w:u w:val="single"/>
          </w:rPr>
          <w:t>PRSGO_2016_06_15_DOWNS_GOX-D-16-00253_SDC1.mp4; [Video] (5.41 MB)</w:t>
        </w:r>
      </w:hyperlink>
    </w:p>
    <w:p w:rsidR="002941CB" w:rsidRDefault="00964946"/>
    <w:sectPr w:rsidR="002941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4946" w:rsidRDefault="00964946" w:rsidP="00A62F93">
      <w:pPr>
        <w:spacing w:after="0" w:line="240" w:lineRule="auto"/>
      </w:pPr>
      <w:r>
        <w:separator/>
      </w:r>
    </w:p>
  </w:endnote>
  <w:endnote w:type="continuationSeparator" w:id="0">
    <w:p w:rsidR="00964946" w:rsidRDefault="00964946" w:rsidP="00A62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4946" w:rsidRDefault="00964946" w:rsidP="00A62F93">
      <w:pPr>
        <w:spacing w:after="0" w:line="240" w:lineRule="auto"/>
      </w:pPr>
      <w:r>
        <w:separator/>
      </w:r>
    </w:p>
  </w:footnote>
  <w:footnote w:type="continuationSeparator" w:id="0">
    <w:p w:rsidR="00964946" w:rsidRDefault="00964946" w:rsidP="00A62F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4668E"/>
    <w:multiLevelType w:val="multilevel"/>
    <w:tmpl w:val="4C00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84B7B"/>
    <w:multiLevelType w:val="multilevel"/>
    <w:tmpl w:val="DB22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F1193"/>
    <w:multiLevelType w:val="multilevel"/>
    <w:tmpl w:val="C964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AE07BD"/>
    <w:multiLevelType w:val="multilevel"/>
    <w:tmpl w:val="38C2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605F6"/>
    <w:multiLevelType w:val="multilevel"/>
    <w:tmpl w:val="E2BC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829E5"/>
    <w:multiLevelType w:val="multilevel"/>
    <w:tmpl w:val="F748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27CD6"/>
    <w:multiLevelType w:val="multilevel"/>
    <w:tmpl w:val="DFBA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803020"/>
    <w:multiLevelType w:val="multilevel"/>
    <w:tmpl w:val="03A0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815987"/>
    <w:multiLevelType w:val="multilevel"/>
    <w:tmpl w:val="C680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D50589"/>
    <w:multiLevelType w:val="multilevel"/>
    <w:tmpl w:val="314E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B36469"/>
    <w:multiLevelType w:val="multilevel"/>
    <w:tmpl w:val="DA86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C21016"/>
    <w:multiLevelType w:val="multilevel"/>
    <w:tmpl w:val="8798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201773"/>
    <w:multiLevelType w:val="multilevel"/>
    <w:tmpl w:val="AA66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E430F"/>
    <w:multiLevelType w:val="multilevel"/>
    <w:tmpl w:val="9916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D53576"/>
    <w:multiLevelType w:val="multilevel"/>
    <w:tmpl w:val="51C4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417998"/>
    <w:multiLevelType w:val="multilevel"/>
    <w:tmpl w:val="19820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FF58F2"/>
    <w:multiLevelType w:val="multilevel"/>
    <w:tmpl w:val="1498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3613A6"/>
    <w:multiLevelType w:val="multilevel"/>
    <w:tmpl w:val="096A9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0C03F1"/>
    <w:multiLevelType w:val="multilevel"/>
    <w:tmpl w:val="A87E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AE10F0"/>
    <w:multiLevelType w:val="multilevel"/>
    <w:tmpl w:val="F9804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2D459A"/>
    <w:multiLevelType w:val="multilevel"/>
    <w:tmpl w:val="EE1C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6B5A7B"/>
    <w:multiLevelType w:val="multilevel"/>
    <w:tmpl w:val="DE0A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2B764F"/>
    <w:multiLevelType w:val="multilevel"/>
    <w:tmpl w:val="0A781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3"/>
  </w:num>
  <w:num w:numId="4">
    <w:abstractNumId w:val="6"/>
  </w:num>
  <w:num w:numId="5">
    <w:abstractNumId w:val="7"/>
  </w:num>
  <w:num w:numId="6">
    <w:abstractNumId w:val="16"/>
  </w:num>
  <w:num w:numId="7">
    <w:abstractNumId w:val="20"/>
  </w:num>
  <w:num w:numId="8">
    <w:abstractNumId w:val="17"/>
  </w:num>
  <w:num w:numId="9">
    <w:abstractNumId w:val="10"/>
  </w:num>
  <w:num w:numId="10">
    <w:abstractNumId w:val="15"/>
  </w:num>
  <w:num w:numId="11">
    <w:abstractNumId w:val="9"/>
  </w:num>
  <w:num w:numId="12">
    <w:abstractNumId w:val="5"/>
  </w:num>
  <w:num w:numId="13">
    <w:abstractNumId w:val="12"/>
  </w:num>
  <w:num w:numId="14">
    <w:abstractNumId w:val="22"/>
  </w:num>
  <w:num w:numId="15">
    <w:abstractNumId w:val="21"/>
  </w:num>
  <w:num w:numId="16">
    <w:abstractNumId w:val="1"/>
  </w:num>
  <w:num w:numId="17">
    <w:abstractNumId w:val="14"/>
  </w:num>
  <w:num w:numId="18">
    <w:abstractNumId w:val="19"/>
  </w:num>
  <w:num w:numId="19">
    <w:abstractNumId w:val="8"/>
  </w:num>
  <w:num w:numId="20">
    <w:abstractNumId w:val="11"/>
  </w:num>
  <w:num w:numId="21">
    <w:abstractNumId w:val="4"/>
  </w:num>
  <w:num w:numId="22">
    <w:abstractNumId w:val="18"/>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F93"/>
    <w:rsid w:val="004C2A5F"/>
    <w:rsid w:val="005C537C"/>
    <w:rsid w:val="006E6122"/>
    <w:rsid w:val="007F5F18"/>
    <w:rsid w:val="00964946"/>
    <w:rsid w:val="00A62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D9B1"/>
  <w15:chartTrackingRefBased/>
  <w15:docId w15:val="{E6729CC9-9D64-4810-B9E7-C52F6B07C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F93"/>
  </w:style>
  <w:style w:type="paragraph" w:styleId="Footer">
    <w:name w:val="footer"/>
    <w:basedOn w:val="Normal"/>
    <w:link w:val="FooterChar"/>
    <w:uiPriority w:val="99"/>
    <w:unhideWhenUsed/>
    <w:rsid w:val="00A62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F93"/>
  </w:style>
  <w:style w:type="character" w:styleId="Hyperlink">
    <w:name w:val="Hyperlink"/>
    <w:basedOn w:val="DefaultParagraphFont"/>
    <w:uiPriority w:val="99"/>
    <w:semiHidden/>
    <w:unhideWhenUsed/>
    <w:rsid w:val="00A62F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0425161">
      <w:bodyDiv w:val="1"/>
      <w:marLeft w:val="0"/>
      <w:marRight w:val="0"/>
      <w:marTop w:val="0"/>
      <w:marBottom w:val="0"/>
      <w:divBdr>
        <w:top w:val="none" w:sz="0" w:space="0" w:color="auto"/>
        <w:left w:val="none" w:sz="0" w:space="0" w:color="auto"/>
        <w:bottom w:val="none" w:sz="0" w:space="0" w:color="auto"/>
        <w:right w:val="none" w:sz="0" w:space="0" w:color="auto"/>
      </w:divBdr>
      <w:divsChild>
        <w:div w:id="1161118330">
          <w:marLeft w:val="0"/>
          <w:marRight w:val="0"/>
          <w:marTop w:val="0"/>
          <w:marBottom w:val="0"/>
          <w:divBdr>
            <w:top w:val="none" w:sz="0" w:space="0" w:color="auto"/>
            <w:left w:val="none" w:sz="0" w:space="0" w:color="auto"/>
            <w:bottom w:val="none" w:sz="0" w:space="0" w:color="auto"/>
            <w:right w:val="none" w:sz="0" w:space="0" w:color="auto"/>
          </w:divBdr>
        </w:div>
        <w:div w:id="1740859413">
          <w:marLeft w:val="0"/>
          <w:marRight w:val="0"/>
          <w:marTop w:val="0"/>
          <w:marBottom w:val="0"/>
          <w:divBdr>
            <w:top w:val="none" w:sz="0" w:space="0" w:color="auto"/>
            <w:left w:val="none" w:sz="0" w:space="0" w:color="auto"/>
            <w:bottom w:val="none" w:sz="0" w:space="0" w:color="auto"/>
            <w:right w:val="none" w:sz="0" w:space="0" w:color="auto"/>
          </w:divBdr>
        </w:div>
        <w:div w:id="619921037">
          <w:marLeft w:val="0"/>
          <w:marRight w:val="0"/>
          <w:marTop w:val="0"/>
          <w:marBottom w:val="0"/>
          <w:divBdr>
            <w:top w:val="none" w:sz="0" w:space="0" w:color="auto"/>
            <w:left w:val="none" w:sz="0" w:space="0" w:color="auto"/>
            <w:bottom w:val="none" w:sz="0" w:space="0" w:color="auto"/>
            <w:right w:val="none" w:sz="0" w:space="0" w:color="auto"/>
          </w:divBdr>
        </w:div>
        <w:div w:id="1647053522">
          <w:marLeft w:val="0"/>
          <w:marRight w:val="0"/>
          <w:marTop w:val="0"/>
          <w:marBottom w:val="0"/>
          <w:divBdr>
            <w:top w:val="none" w:sz="0" w:space="0" w:color="auto"/>
            <w:left w:val="none" w:sz="0" w:space="0" w:color="auto"/>
            <w:bottom w:val="none" w:sz="0" w:space="0" w:color="auto"/>
            <w:right w:val="none" w:sz="0" w:space="0" w:color="auto"/>
          </w:divBdr>
          <w:divsChild>
            <w:div w:id="973561593">
              <w:marLeft w:val="0"/>
              <w:marRight w:val="75"/>
              <w:marTop w:val="0"/>
              <w:marBottom w:val="0"/>
              <w:divBdr>
                <w:top w:val="none" w:sz="0" w:space="0" w:color="auto"/>
                <w:left w:val="none" w:sz="0" w:space="0" w:color="auto"/>
                <w:bottom w:val="none" w:sz="0" w:space="0" w:color="auto"/>
                <w:right w:val="none" w:sz="0" w:space="0" w:color="auto"/>
              </w:divBdr>
            </w:div>
            <w:div w:id="378826868">
              <w:marLeft w:val="0"/>
              <w:marRight w:val="75"/>
              <w:marTop w:val="0"/>
              <w:marBottom w:val="0"/>
              <w:divBdr>
                <w:top w:val="none" w:sz="0" w:space="0" w:color="auto"/>
                <w:left w:val="none" w:sz="0" w:space="0" w:color="auto"/>
                <w:bottom w:val="none" w:sz="0" w:space="0" w:color="auto"/>
                <w:right w:val="none" w:sz="0" w:space="0" w:color="auto"/>
              </w:divBdr>
            </w:div>
            <w:div w:id="1255362876">
              <w:marLeft w:val="75"/>
              <w:marRight w:val="75"/>
              <w:marTop w:val="0"/>
              <w:marBottom w:val="0"/>
              <w:divBdr>
                <w:top w:val="none" w:sz="0" w:space="0" w:color="auto"/>
                <w:left w:val="none" w:sz="0" w:space="0" w:color="auto"/>
                <w:bottom w:val="none" w:sz="0" w:space="0" w:color="auto"/>
                <w:right w:val="none" w:sz="0" w:space="0" w:color="auto"/>
              </w:divBdr>
            </w:div>
            <w:div w:id="52779043">
              <w:marLeft w:val="75"/>
              <w:marRight w:val="75"/>
              <w:marTop w:val="0"/>
              <w:marBottom w:val="0"/>
              <w:divBdr>
                <w:top w:val="none" w:sz="0" w:space="0" w:color="auto"/>
                <w:left w:val="none" w:sz="0" w:space="0" w:color="auto"/>
                <w:bottom w:val="none" w:sz="0" w:space="0" w:color="auto"/>
                <w:right w:val="none" w:sz="0" w:space="0" w:color="auto"/>
              </w:divBdr>
            </w:div>
          </w:divsChild>
        </w:div>
        <w:div w:id="798113411">
          <w:marLeft w:val="0"/>
          <w:marRight w:val="0"/>
          <w:marTop w:val="0"/>
          <w:marBottom w:val="0"/>
          <w:divBdr>
            <w:top w:val="none" w:sz="0" w:space="0" w:color="auto"/>
            <w:left w:val="none" w:sz="0" w:space="0" w:color="auto"/>
            <w:bottom w:val="none" w:sz="0" w:space="0" w:color="auto"/>
            <w:right w:val="none" w:sz="0" w:space="0" w:color="auto"/>
          </w:divBdr>
          <w:divsChild>
            <w:div w:id="613438935">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309699954">
          <w:marLeft w:val="0"/>
          <w:marRight w:val="0"/>
          <w:marTop w:val="0"/>
          <w:marBottom w:val="0"/>
          <w:divBdr>
            <w:top w:val="none" w:sz="0" w:space="0" w:color="auto"/>
            <w:left w:val="none" w:sz="0" w:space="0" w:color="auto"/>
            <w:bottom w:val="none" w:sz="0" w:space="0" w:color="auto"/>
            <w:right w:val="none" w:sz="0" w:space="0" w:color="auto"/>
          </w:divBdr>
        </w:div>
        <w:div w:id="23755970">
          <w:marLeft w:val="0"/>
          <w:marRight w:val="0"/>
          <w:marTop w:val="0"/>
          <w:marBottom w:val="0"/>
          <w:divBdr>
            <w:top w:val="none" w:sz="0" w:space="0" w:color="auto"/>
            <w:left w:val="none" w:sz="0" w:space="0" w:color="auto"/>
            <w:bottom w:val="none" w:sz="0" w:space="0" w:color="auto"/>
            <w:right w:val="none" w:sz="0" w:space="0" w:color="auto"/>
          </w:divBdr>
        </w:div>
        <w:div w:id="1014302724">
          <w:marLeft w:val="0"/>
          <w:marRight w:val="0"/>
          <w:marTop w:val="0"/>
          <w:marBottom w:val="0"/>
          <w:divBdr>
            <w:top w:val="none" w:sz="0" w:space="0" w:color="auto"/>
            <w:left w:val="none" w:sz="0" w:space="0" w:color="auto"/>
            <w:bottom w:val="none" w:sz="0" w:space="0" w:color="auto"/>
            <w:right w:val="none" w:sz="0" w:space="0" w:color="auto"/>
          </w:divBdr>
        </w:div>
        <w:div w:id="1897155714">
          <w:marLeft w:val="0"/>
          <w:marRight w:val="0"/>
          <w:marTop w:val="0"/>
          <w:marBottom w:val="0"/>
          <w:divBdr>
            <w:top w:val="none" w:sz="0" w:space="0" w:color="auto"/>
            <w:left w:val="none" w:sz="0" w:space="0" w:color="auto"/>
            <w:bottom w:val="none" w:sz="0" w:space="0" w:color="auto"/>
            <w:right w:val="none" w:sz="0" w:space="0" w:color="auto"/>
          </w:divBdr>
        </w:div>
        <w:div w:id="1524319152">
          <w:marLeft w:val="0"/>
          <w:marRight w:val="0"/>
          <w:marTop w:val="0"/>
          <w:marBottom w:val="0"/>
          <w:divBdr>
            <w:top w:val="none" w:sz="0" w:space="0" w:color="auto"/>
            <w:left w:val="none" w:sz="0" w:space="0" w:color="auto"/>
            <w:bottom w:val="none" w:sz="0" w:space="0" w:color="auto"/>
            <w:right w:val="none" w:sz="0" w:space="0" w:color="auto"/>
          </w:divBdr>
          <w:divsChild>
            <w:div w:id="732852173">
              <w:marLeft w:val="0"/>
              <w:marRight w:val="0"/>
              <w:marTop w:val="0"/>
              <w:marBottom w:val="0"/>
              <w:divBdr>
                <w:top w:val="none" w:sz="0" w:space="0" w:color="auto"/>
                <w:left w:val="none" w:sz="0" w:space="0" w:color="auto"/>
                <w:bottom w:val="none" w:sz="0" w:space="0" w:color="auto"/>
                <w:right w:val="none" w:sz="0" w:space="0" w:color="auto"/>
              </w:divBdr>
            </w:div>
            <w:div w:id="795757909">
              <w:marLeft w:val="0"/>
              <w:marRight w:val="0"/>
              <w:marTop w:val="0"/>
              <w:marBottom w:val="0"/>
              <w:divBdr>
                <w:top w:val="none" w:sz="0" w:space="0" w:color="auto"/>
                <w:left w:val="none" w:sz="0" w:space="0" w:color="auto"/>
                <w:bottom w:val="none" w:sz="0" w:space="0" w:color="auto"/>
                <w:right w:val="none" w:sz="0" w:space="0" w:color="auto"/>
              </w:divBdr>
            </w:div>
          </w:divsChild>
        </w:div>
        <w:div w:id="2008363302">
          <w:marLeft w:val="0"/>
          <w:marRight w:val="0"/>
          <w:marTop w:val="0"/>
          <w:marBottom w:val="0"/>
          <w:divBdr>
            <w:top w:val="none" w:sz="0" w:space="0" w:color="auto"/>
            <w:left w:val="none" w:sz="0" w:space="0" w:color="auto"/>
            <w:bottom w:val="none" w:sz="0" w:space="0" w:color="auto"/>
            <w:right w:val="none" w:sz="0" w:space="0" w:color="auto"/>
          </w:divBdr>
          <w:divsChild>
            <w:div w:id="716468724">
              <w:marLeft w:val="0"/>
              <w:marRight w:val="0"/>
              <w:marTop w:val="0"/>
              <w:marBottom w:val="0"/>
              <w:divBdr>
                <w:top w:val="none" w:sz="0" w:space="0" w:color="auto"/>
                <w:left w:val="none" w:sz="0" w:space="0" w:color="auto"/>
                <w:bottom w:val="none" w:sz="0" w:space="0" w:color="auto"/>
                <w:right w:val="none" w:sz="0" w:space="0" w:color="auto"/>
              </w:divBdr>
            </w:div>
            <w:div w:id="390736285">
              <w:marLeft w:val="0"/>
              <w:marRight w:val="0"/>
              <w:marTop w:val="0"/>
              <w:marBottom w:val="0"/>
              <w:divBdr>
                <w:top w:val="none" w:sz="0" w:space="0" w:color="auto"/>
                <w:left w:val="none" w:sz="0" w:space="0" w:color="auto"/>
                <w:bottom w:val="none" w:sz="0" w:space="0" w:color="auto"/>
                <w:right w:val="none" w:sz="0" w:space="0" w:color="auto"/>
              </w:divBdr>
            </w:div>
          </w:divsChild>
        </w:div>
        <w:div w:id="634219281">
          <w:marLeft w:val="0"/>
          <w:marRight w:val="0"/>
          <w:marTop w:val="0"/>
          <w:marBottom w:val="0"/>
          <w:divBdr>
            <w:top w:val="none" w:sz="0" w:space="0" w:color="auto"/>
            <w:left w:val="none" w:sz="0" w:space="0" w:color="auto"/>
            <w:bottom w:val="none" w:sz="0" w:space="0" w:color="auto"/>
            <w:right w:val="none" w:sz="0" w:space="0" w:color="auto"/>
          </w:divBdr>
        </w:div>
        <w:div w:id="448818291">
          <w:marLeft w:val="0"/>
          <w:marRight w:val="0"/>
          <w:marTop w:val="0"/>
          <w:marBottom w:val="0"/>
          <w:divBdr>
            <w:top w:val="none" w:sz="0" w:space="0" w:color="auto"/>
            <w:left w:val="none" w:sz="0" w:space="0" w:color="auto"/>
            <w:bottom w:val="none" w:sz="0" w:space="0" w:color="auto"/>
            <w:right w:val="none" w:sz="0" w:space="0" w:color="auto"/>
          </w:divBdr>
        </w:div>
        <w:div w:id="500240520">
          <w:marLeft w:val="0"/>
          <w:marRight w:val="0"/>
          <w:marTop w:val="0"/>
          <w:marBottom w:val="0"/>
          <w:divBdr>
            <w:top w:val="none" w:sz="0" w:space="0" w:color="auto"/>
            <w:left w:val="none" w:sz="0" w:space="0" w:color="auto"/>
            <w:bottom w:val="none" w:sz="0" w:space="0" w:color="auto"/>
            <w:right w:val="none" w:sz="0" w:space="0" w:color="auto"/>
          </w:divBdr>
        </w:div>
        <w:div w:id="1096291035">
          <w:marLeft w:val="0"/>
          <w:marRight w:val="0"/>
          <w:marTop w:val="0"/>
          <w:marBottom w:val="0"/>
          <w:divBdr>
            <w:top w:val="none" w:sz="0" w:space="0" w:color="auto"/>
            <w:left w:val="none" w:sz="0" w:space="0" w:color="auto"/>
            <w:bottom w:val="none" w:sz="0" w:space="0" w:color="auto"/>
            <w:right w:val="none" w:sz="0" w:space="0" w:color="auto"/>
          </w:divBdr>
        </w:div>
        <w:div w:id="2094617881">
          <w:marLeft w:val="0"/>
          <w:marRight w:val="0"/>
          <w:marTop w:val="0"/>
          <w:marBottom w:val="0"/>
          <w:divBdr>
            <w:top w:val="none" w:sz="0" w:space="0" w:color="auto"/>
            <w:left w:val="none" w:sz="0" w:space="0" w:color="auto"/>
            <w:bottom w:val="none" w:sz="0" w:space="0" w:color="auto"/>
            <w:right w:val="none" w:sz="0" w:space="0" w:color="auto"/>
          </w:divBdr>
        </w:div>
        <w:div w:id="843251893">
          <w:marLeft w:val="0"/>
          <w:marRight w:val="0"/>
          <w:marTop w:val="0"/>
          <w:marBottom w:val="0"/>
          <w:divBdr>
            <w:top w:val="none" w:sz="0" w:space="0" w:color="auto"/>
            <w:left w:val="none" w:sz="0" w:space="0" w:color="auto"/>
            <w:bottom w:val="none" w:sz="0" w:space="0" w:color="auto"/>
            <w:right w:val="none" w:sz="0" w:space="0" w:color="auto"/>
          </w:divBdr>
        </w:div>
        <w:div w:id="908996899">
          <w:marLeft w:val="0"/>
          <w:marRight w:val="0"/>
          <w:marTop w:val="0"/>
          <w:marBottom w:val="0"/>
          <w:divBdr>
            <w:top w:val="none" w:sz="0" w:space="0" w:color="auto"/>
            <w:left w:val="none" w:sz="0" w:space="0" w:color="auto"/>
            <w:bottom w:val="none" w:sz="0" w:space="0" w:color="auto"/>
            <w:right w:val="none" w:sz="0" w:space="0" w:color="auto"/>
          </w:divBdr>
        </w:div>
        <w:div w:id="534276329">
          <w:marLeft w:val="0"/>
          <w:marRight w:val="0"/>
          <w:marTop w:val="0"/>
          <w:marBottom w:val="0"/>
          <w:divBdr>
            <w:top w:val="none" w:sz="0" w:space="0" w:color="auto"/>
            <w:left w:val="none" w:sz="0" w:space="0" w:color="auto"/>
            <w:bottom w:val="none" w:sz="0" w:space="0" w:color="auto"/>
            <w:right w:val="none" w:sz="0" w:space="0" w:color="auto"/>
          </w:divBdr>
        </w:div>
        <w:div w:id="1434980174">
          <w:marLeft w:val="0"/>
          <w:marRight w:val="0"/>
          <w:marTop w:val="0"/>
          <w:marBottom w:val="0"/>
          <w:divBdr>
            <w:top w:val="none" w:sz="0" w:space="0" w:color="auto"/>
            <w:left w:val="none" w:sz="0" w:space="0" w:color="auto"/>
            <w:bottom w:val="none" w:sz="0" w:space="0" w:color="auto"/>
            <w:right w:val="none" w:sz="0" w:space="0" w:color="auto"/>
          </w:divBdr>
        </w:div>
        <w:div w:id="601306623">
          <w:marLeft w:val="0"/>
          <w:marRight w:val="0"/>
          <w:marTop w:val="0"/>
          <w:marBottom w:val="0"/>
          <w:divBdr>
            <w:top w:val="none" w:sz="0" w:space="0" w:color="auto"/>
            <w:left w:val="none" w:sz="0" w:space="0" w:color="auto"/>
            <w:bottom w:val="none" w:sz="0" w:space="0" w:color="auto"/>
            <w:right w:val="none" w:sz="0" w:space="0" w:color="auto"/>
          </w:divBdr>
          <w:divsChild>
            <w:div w:id="1823689838">
              <w:marLeft w:val="0"/>
              <w:marRight w:val="0"/>
              <w:marTop w:val="0"/>
              <w:marBottom w:val="0"/>
              <w:divBdr>
                <w:top w:val="none" w:sz="0" w:space="0" w:color="auto"/>
                <w:left w:val="none" w:sz="0" w:space="0" w:color="auto"/>
                <w:bottom w:val="none" w:sz="0" w:space="0" w:color="auto"/>
                <w:right w:val="none" w:sz="0" w:space="0" w:color="auto"/>
              </w:divBdr>
            </w:div>
          </w:divsChild>
        </w:div>
        <w:div w:id="954561935">
          <w:marLeft w:val="0"/>
          <w:marRight w:val="0"/>
          <w:marTop w:val="0"/>
          <w:marBottom w:val="0"/>
          <w:divBdr>
            <w:top w:val="none" w:sz="0" w:space="0" w:color="auto"/>
            <w:left w:val="none" w:sz="0" w:space="0" w:color="auto"/>
            <w:bottom w:val="none" w:sz="0" w:space="0" w:color="auto"/>
            <w:right w:val="none" w:sz="0" w:space="0" w:color="auto"/>
          </w:divBdr>
          <w:divsChild>
            <w:div w:id="594631494">
              <w:marLeft w:val="0"/>
              <w:marRight w:val="0"/>
              <w:marTop w:val="0"/>
              <w:marBottom w:val="0"/>
              <w:divBdr>
                <w:top w:val="none" w:sz="0" w:space="0" w:color="auto"/>
                <w:left w:val="none" w:sz="0" w:space="0" w:color="auto"/>
                <w:bottom w:val="none" w:sz="0" w:space="0" w:color="auto"/>
                <w:right w:val="none" w:sz="0" w:space="0" w:color="auto"/>
              </w:divBdr>
            </w:div>
          </w:divsChild>
        </w:div>
        <w:div w:id="539441791">
          <w:marLeft w:val="0"/>
          <w:marRight w:val="0"/>
          <w:marTop w:val="0"/>
          <w:marBottom w:val="0"/>
          <w:divBdr>
            <w:top w:val="none" w:sz="0" w:space="0" w:color="auto"/>
            <w:left w:val="none" w:sz="0" w:space="0" w:color="auto"/>
            <w:bottom w:val="none" w:sz="0" w:space="0" w:color="auto"/>
            <w:right w:val="none" w:sz="0" w:space="0" w:color="auto"/>
          </w:divBdr>
          <w:divsChild>
            <w:div w:id="1535998582">
              <w:marLeft w:val="0"/>
              <w:marRight w:val="0"/>
              <w:marTop w:val="0"/>
              <w:marBottom w:val="0"/>
              <w:divBdr>
                <w:top w:val="none" w:sz="0" w:space="0" w:color="auto"/>
                <w:left w:val="none" w:sz="0" w:space="0" w:color="auto"/>
                <w:bottom w:val="none" w:sz="0" w:space="0" w:color="auto"/>
                <w:right w:val="none" w:sz="0" w:space="0" w:color="auto"/>
              </w:divBdr>
            </w:div>
          </w:divsChild>
        </w:div>
        <w:div w:id="1941713912">
          <w:marLeft w:val="0"/>
          <w:marRight w:val="0"/>
          <w:marTop w:val="0"/>
          <w:marBottom w:val="0"/>
          <w:divBdr>
            <w:top w:val="none" w:sz="0" w:space="0" w:color="auto"/>
            <w:left w:val="none" w:sz="0" w:space="0" w:color="auto"/>
            <w:bottom w:val="none" w:sz="0" w:space="0" w:color="auto"/>
            <w:right w:val="none" w:sz="0" w:space="0" w:color="auto"/>
          </w:divBdr>
          <w:divsChild>
            <w:div w:id="1427917358">
              <w:marLeft w:val="0"/>
              <w:marRight w:val="0"/>
              <w:marTop w:val="0"/>
              <w:marBottom w:val="0"/>
              <w:divBdr>
                <w:top w:val="none" w:sz="0" w:space="0" w:color="auto"/>
                <w:left w:val="none" w:sz="0" w:space="0" w:color="auto"/>
                <w:bottom w:val="none" w:sz="0" w:space="0" w:color="auto"/>
                <w:right w:val="none" w:sz="0" w:space="0" w:color="auto"/>
              </w:divBdr>
            </w:div>
          </w:divsChild>
        </w:div>
        <w:div w:id="2121876871">
          <w:marLeft w:val="0"/>
          <w:marRight w:val="0"/>
          <w:marTop w:val="0"/>
          <w:marBottom w:val="0"/>
          <w:divBdr>
            <w:top w:val="none" w:sz="0" w:space="0" w:color="auto"/>
            <w:left w:val="none" w:sz="0" w:space="0" w:color="auto"/>
            <w:bottom w:val="none" w:sz="0" w:space="0" w:color="auto"/>
            <w:right w:val="none" w:sz="0" w:space="0" w:color="auto"/>
          </w:divBdr>
          <w:divsChild>
            <w:div w:id="1261066216">
              <w:marLeft w:val="0"/>
              <w:marRight w:val="0"/>
              <w:marTop w:val="0"/>
              <w:marBottom w:val="0"/>
              <w:divBdr>
                <w:top w:val="none" w:sz="0" w:space="0" w:color="auto"/>
                <w:left w:val="none" w:sz="0" w:space="0" w:color="auto"/>
                <w:bottom w:val="none" w:sz="0" w:space="0" w:color="auto"/>
                <w:right w:val="none" w:sz="0" w:space="0" w:color="auto"/>
              </w:divBdr>
            </w:div>
          </w:divsChild>
        </w:div>
        <w:div w:id="880747185">
          <w:marLeft w:val="0"/>
          <w:marRight w:val="0"/>
          <w:marTop w:val="0"/>
          <w:marBottom w:val="0"/>
          <w:divBdr>
            <w:top w:val="none" w:sz="0" w:space="0" w:color="auto"/>
            <w:left w:val="none" w:sz="0" w:space="0" w:color="auto"/>
            <w:bottom w:val="none" w:sz="0" w:space="0" w:color="auto"/>
            <w:right w:val="none" w:sz="0" w:space="0" w:color="auto"/>
          </w:divBdr>
          <w:divsChild>
            <w:div w:id="868034057">
              <w:marLeft w:val="0"/>
              <w:marRight w:val="0"/>
              <w:marTop w:val="0"/>
              <w:marBottom w:val="0"/>
              <w:divBdr>
                <w:top w:val="none" w:sz="0" w:space="0" w:color="auto"/>
                <w:left w:val="none" w:sz="0" w:space="0" w:color="auto"/>
                <w:bottom w:val="none" w:sz="0" w:space="0" w:color="auto"/>
                <w:right w:val="none" w:sz="0" w:space="0" w:color="auto"/>
              </w:divBdr>
            </w:div>
          </w:divsChild>
        </w:div>
        <w:div w:id="196896693">
          <w:marLeft w:val="0"/>
          <w:marRight w:val="0"/>
          <w:marTop w:val="0"/>
          <w:marBottom w:val="0"/>
          <w:divBdr>
            <w:top w:val="none" w:sz="0" w:space="0" w:color="auto"/>
            <w:left w:val="none" w:sz="0" w:space="0" w:color="auto"/>
            <w:bottom w:val="none" w:sz="0" w:space="0" w:color="auto"/>
            <w:right w:val="none" w:sz="0" w:space="0" w:color="auto"/>
          </w:divBdr>
          <w:divsChild>
            <w:div w:id="2086173922">
              <w:marLeft w:val="0"/>
              <w:marRight w:val="0"/>
              <w:marTop w:val="0"/>
              <w:marBottom w:val="0"/>
              <w:divBdr>
                <w:top w:val="none" w:sz="0" w:space="0" w:color="auto"/>
                <w:left w:val="none" w:sz="0" w:space="0" w:color="auto"/>
                <w:bottom w:val="none" w:sz="0" w:space="0" w:color="auto"/>
                <w:right w:val="none" w:sz="0" w:space="0" w:color="auto"/>
              </w:divBdr>
            </w:div>
          </w:divsChild>
        </w:div>
        <w:div w:id="1249343848">
          <w:marLeft w:val="0"/>
          <w:marRight w:val="0"/>
          <w:marTop w:val="0"/>
          <w:marBottom w:val="0"/>
          <w:divBdr>
            <w:top w:val="none" w:sz="0" w:space="0" w:color="auto"/>
            <w:left w:val="none" w:sz="0" w:space="0" w:color="auto"/>
            <w:bottom w:val="none" w:sz="0" w:space="0" w:color="auto"/>
            <w:right w:val="none" w:sz="0" w:space="0" w:color="auto"/>
          </w:divBdr>
          <w:divsChild>
            <w:div w:id="535583472">
              <w:marLeft w:val="0"/>
              <w:marRight w:val="0"/>
              <w:marTop w:val="0"/>
              <w:marBottom w:val="0"/>
              <w:divBdr>
                <w:top w:val="none" w:sz="0" w:space="0" w:color="auto"/>
                <w:left w:val="none" w:sz="0" w:space="0" w:color="auto"/>
                <w:bottom w:val="none" w:sz="0" w:space="0" w:color="auto"/>
                <w:right w:val="none" w:sz="0" w:space="0" w:color="auto"/>
              </w:divBdr>
            </w:div>
          </w:divsChild>
        </w:div>
        <w:div w:id="524172310">
          <w:marLeft w:val="0"/>
          <w:marRight w:val="0"/>
          <w:marTop w:val="0"/>
          <w:marBottom w:val="0"/>
          <w:divBdr>
            <w:top w:val="none" w:sz="0" w:space="0" w:color="auto"/>
            <w:left w:val="none" w:sz="0" w:space="0" w:color="auto"/>
            <w:bottom w:val="none" w:sz="0" w:space="0" w:color="auto"/>
            <w:right w:val="none" w:sz="0" w:space="0" w:color="auto"/>
          </w:divBdr>
          <w:divsChild>
            <w:div w:id="164976093">
              <w:marLeft w:val="0"/>
              <w:marRight w:val="0"/>
              <w:marTop w:val="0"/>
              <w:marBottom w:val="0"/>
              <w:divBdr>
                <w:top w:val="none" w:sz="0" w:space="0" w:color="auto"/>
                <w:left w:val="none" w:sz="0" w:space="0" w:color="auto"/>
                <w:bottom w:val="none" w:sz="0" w:space="0" w:color="auto"/>
                <w:right w:val="none" w:sz="0" w:space="0" w:color="auto"/>
              </w:divBdr>
            </w:div>
          </w:divsChild>
        </w:div>
        <w:div w:id="418796504">
          <w:marLeft w:val="0"/>
          <w:marRight w:val="0"/>
          <w:marTop w:val="0"/>
          <w:marBottom w:val="0"/>
          <w:divBdr>
            <w:top w:val="none" w:sz="0" w:space="0" w:color="auto"/>
            <w:left w:val="none" w:sz="0" w:space="0" w:color="auto"/>
            <w:bottom w:val="none" w:sz="0" w:space="0" w:color="auto"/>
            <w:right w:val="none" w:sz="0" w:space="0" w:color="auto"/>
          </w:divBdr>
          <w:divsChild>
            <w:div w:id="353649562">
              <w:marLeft w:val="0"/>
              <w:marRight w:val="0"/>
              <w:marTop w:val="0"/>
              <w:marBottom w:val="0"/>
              <w:divBdr>
                <w:top w:val="none" w:sz="0" w:space="0" w:color="auto"/>
                <w:left w:val="none" w:sz="0" w:space="0" w:color="auto"/>
                <w:bottom w:val="none" w:sz="0" w:space="0" w:color="auto"/>
                <w:right w:val="none" w:sz="0" w:space="0" w:color="auto"/>
              </w:divBdr>
            </w:div>
          </w:divsChild>
        </w:div>
        <w:div w:id="705301196">
          <w:marLeft w:val="0"/>
          <w:marRight w:val="0"/>
          <w:marTop w:val="0"/>
          <w:marBottom w:val="0"/>
          <w:divBdr>
            <w:top w:val="none" w:sz="0" w:space="0" w:color="auto"/>
            <w:left w:val="none" w:sz="0" w:space="0" w:color="auto"/>
            <w:bottom w:val="none" w:sz="0" w:space="0" w:color="auto"/>
            <w:right w:val="none" w:sz="0" w:space="0" w:color="auto"/>
          </w:divBdr>
          <w:divsChild>
            <w:div w:id="315765327">
              <w:marLeft w:val="0"/>
              <w:marRight w:val="0"/>
              <w:marTop w:val="0"/>
              <w:marBottom w:val="0"/>
              <w:divBdr>
                <w:top w:val="none" w:sz="0" w:space="0" w:color="auto"/>
                <w:left w:val="none" w:sz="0" w:space="0" w:color="auto"/>
                <w:bottom w:val="none" w:sz="0" w:space="0" w:color="auto"/>
                <w:right w:val="none" w:sz="0" w:space="0" w:color="auto"/>
              </w:divBdr>
            </w:div>
          </w:divsChild>
        </w:div>
        <w:div w:id="300691816">
          <w:marLeft w:val="0"/>
          <w:marRight w:val="0"/>
          <w:marTop w:val="0"/>
          <w:marBottom w:val="0"/>
          <w:divBdr>
            <w:top w:val="none" w:sz="0" w:space="0" w:color="auto"/>
            <w:left w:val="none" w:sz="0" w:space="0" w:color="auto"/>
            <w:bottom w:val="none" w:sz="0" w:space="0" w:color="auto"/>
            <w:right w:val="none" w:sz="0" w:space="0" w:color="auto"/>
          </w:divBdr>
          <w:divsChild>
            <w:div w:id="842017605">
              <w:marLeft w:val="0"/>
              <w:marRight w:val="0"/>
              <w:marTop w:val="0"/>
              <w:marBottom w:val="0"/>
              <w:divBdr>
                <w:top w:val="none" w:sz="0" w:space="0" w:color="auto"/>
                <w:left w:val="none" w:sz="0" w:space="0" w:color="auto"/>
                <w:bottom w:val="none" w:sz="0" w:space="0" w:color="auto"/>
                <w:right w:val="none" w:sz="0" w:space="0" w:color="auto"/>
              </w:divBdr>
            </w:div>
          </w:divsChild>
        </w:div>
        <w:div w:id="1697190856">
          <w:marLeft w:val="0"/>
          <w:marRight w:val="0"/>
          <w:marTop w:val="0"/>
          <w:marBottom w:val="0"/>
          <w:divBdr>
            <w:top w:val="none" w:sz="0" w:space="0" w:color="auto"/>
            <w:left w:val="none" w:sz="0" w:space="0" w:color="auto"/>
            <w:bottom w:val="none" w:sz="0" w:space="0" w:color="auto"/>
            <w:right w:val="none" w:sz="0" w:space="0" w:color="auto"/>
          </w:divBdr>
          <w:divsChild>
            <w:div w:id="1277760379">
              <w:marLeft w:val="0"/>
              <w:marRight w:val="0"/>
              <w:marTop w:val="0"/>
              <w:marBottom w:val="0"/>
              <w:divBdr>
                <w:top w:val="none" w:sz="0" w:space="0" w:color="auto"/>
                <w:left w:val="none" w:sz="0" w:space="0" w:color="auto"/>
                <w:bottom w:val="none" w:sz="0" w:space="0" w:color="auto"/>
                <w:right w:val="none" w:sz="0" w:space="0" w:color="auto"/>
              </w:divBdr>
            </w:div>
          </w:divsChild>
        </w:div>
        <w:div w:id="1625118113">
          <w:marLeft w:val="0"/>
          <w:marRight w:val="0"/>
          <w:marTop w:val="0"/>
          <w:marBottom w:val="0"/>
          <w:divBdr>
            <w:top w:val="none" w:sz="0" w:space="0" w:color="auto"/>
            <w:left w:val="none" w:sz="0" w:space="0" w:color="auto"/>
            <w:bottom w:val="none" w:sz="0" w:space="0" w:color="auto"/>
            <w:right w:val="none" w:sz="0" w:space="0" w:color="auto"/>
          </w:divBdr>
          <w:divsChild>
            <w:div w:id="1645547724">
              <w:marLeft w:val="0"/>
              <w:marRight w:val="0"/>
              <w:marTop w:val="0"/>
              <w:marBottom w:val="0"/>
              <w:divBdr>
                <w:top w:val="none" w:sz="0" w:space="0" w:color="auto"/>
                <w:left w:val="none" w:sz="0" w:space="0" w:color="auto"/>
                <w:bottom w:val="none" w:sz="0" w:space="0" w:color="auto"/>
                <w:right w:val="none" w:sz="0" w:space="0" w:color="auto"/>
              </w:divBdr>
            </w:div>
          </w:divsChild>
        </w:div>
        <w:div w:id="410129414">
          <w:marLeft w:val="0"/>
          <w:marRight w:val="0"/>
          <w:marTop w:val="0"/>
          <w:marBottom w:val="0"/>
          <w:divBdr>
            <w:top w:val="none" w:sz="0" w:space="0" w:color="auto"/>
            <w:left w:val="none" w:sz="0" w:space="0" w:color="auto"/>
            <w:bottom w:val="none" w:sz="0" w:space="0" w:color="auto"/>
            <w:right w:val="none" w:sz="0" w:space="0" w:color="auto"/>
          </w:divBdr>
          <w:divsChild>
            <w:div w:id="723220072">
              <w:marLeft w:val="0"/>
              <w:marRight w:val="0"/>
              <w:marTop w:val="0"/>
              <w:marBottom w:val="0"/>
              <w:divBdr>
                <w:top w:val="none" w:sz="0" w:space="0" w:color="auto"/>
                <w:left w:val="none" w:sz="0" w:space="0" w:color="auto"/>
                <w:bottom w:val="none" w:sz="0" w:space="0" w:color="auto"/>
                <w:right w:val="none" w:sz="0" w:space="0" w:color="auto"/>
              </w:divBdr>
            </w:div>
          </w:divsChild>
        </w:div>
        <w:div w:id="287391851">
          <w:marLeft w:val="0"/>
          <w:marRight w:val="0"/>
          <w:marTop w:val="0"/>
          <w:marBottom w:val="0"/>
          <w:divBdr>
            <w:top w:val="none" w:sz="0" w:space="0" w:color="auto"/>
            <w:left w:val="none" w:sz="0" w:space="0" w:color="auto"/>
            <w:bottom w:val="none" w:sz="0" w:space="0" w:color="auto"/>
            <w:right w:val="none" w:sz="0" w:space="0" w:color="auto"/>
          </w:divBdr>
          <w:divsChild>
            <w:div w:id="513344005">
              <w:marLeft w:val="0"/>
              <w:marRight w:val="0"/>
              <w:marTop w:val="0"/>
              <w:marBottom w:val="0"/>
              <w:divBdr>
                <w:top w:val="none" w:sz="0" w:space="0" w:color="auto"/>
                <w:left w:val="none" w:sz="0" w:space="0" w:color="auto"/>
                <w:bottom w:val="none" w:sz="0" w:space="0" w:color="auto"/>
                <w:right w:val="none" w:sz="0" w:space="0" w:color="auto"/>
              </w:divBdr>
            </w:div>
          </w:divsChild>
        </w:div>
        <w:div w:id="675689830">
          <w:marLeft w:val="0"/>
          <w:marRight w:val="0"/>
          <w:marTop w:val="0"/>
          <w:marBottom w:val="0"/>
          <w:divBdr>
            <w:top w:val="none" w:sz="0" w:space="0" w:color="auto"/>
            <w:left w:val="none" w:sz="0" w:space="0" w:color="auto"/>
            <w:bottom w:val="none" w:sz="0" w:space="0" w:color="auto"/>
            <w:right w:val="none" w:sz="0" w:space="0" w:color="auto"/>
          </w:divBdr>
          <w:divsChild>
            <w:div w:id="1540628099">
              <w:marLeft w:val="0"/>
              <w:marRight w:val="0"/>
              <w:marTop w:val="0"/>
              <w:marBottom w:val="0"/>
              <w:divBdr>
                <w:top w:val="none" w:sz="0" w:space="0" w:color="auto"/>
                <w:left w:val="none" w:sz="0" w:space="0" w:color="auto"/>
                <w:bottom w:val="none" w:sz="0" w:space="0" w:color="auto"/>
                <w:right w:val="none" w:sz="0" w:space="0" w:color="auto"/>
              </w:divBdr>
            </w:div>
          </w:divsChild>
        </w:div>
        <w:div w:id="1445416596">
          <w:marLeft w:val="0"/>
          <w:marRight w:val="0"/>
          <w:marTop w:val="0"/>
          <w:marBottom w:val="0"/>
          <w:divBdr>
            <w:top w:val="none" w:sz="0" w:space="0" w:color="auto"/>
            <w:left w:val="none" w:sz="0" w:space="0" w:color="auto"/>
            <w:bottom w:val="none" w:sz="0" w:space="0" w:color="auto"/>
            <w:right w:val="none" w:sz="0" w:space="0" w:color="auto"/>
          </w:divBdr>
          <w:divsChild>
            <w:div w:id="882592532">
              <w:marLeft w:val="0"/>
              <w:marRight w:val="0"/>
              <w:marTop w:val="0"/>
              <w:marBottom w:val="0"/>
              <w:divBdr>
                <w:top w:val="none" w:sz="0" w:space="0" w:color="auto"/>
                <w:left w:val="none" w:sz="0" w:space="0" w:color="auto"/>
                <w:bottom w:val="none" w:sz="0" w:space="0" w:color="auto"/>
                <w:right w:val="none" w:sz="0" w:space="0" w:color="auto"/>
              </w:divBdr>
            </w:div>
          </w:divsChild>
        </w:div>
        <w:div w:id="1967856269">
          <w:marLeft w:val="0"/>
          <w:marRight w:val="0"/>
          <w:marTop w:val="0"/>
          <w:marBottom w:val="0"/>
          <w:divBdr>
            <w:top w:val="none" w:sz="0" w:space="0" w:color="auto"/>
            <w:left w:val="none" w:sz="0" w:space="0" w:color="auto"/>
            <w:bottom w:val="none" w:sz="0" w:space="0" w:color="auto"/>
            <w:right w:val="none" w:sz="0" w:space="0" w:color="auto"/>
          </w:divBdr>
          <w:divsChild>
            <w:div w:id="2091078495">
              <w:marLeft w:val="0"/>
              <w:marRight w:val="0"/>
              <w:marTop w:val="0"/>
              <w:marBottom w:val="0"/>
              <w:divBdr>
                <w:top w:val="none" w:sz="0" w:space="0" w:color="auto"/>
                <w:left w:val="none" w:sz="0" w:space="0" w:color="auto"/>
                <w:bottom w:val="none" w:sz="0" w:space="0" w:color="auto"/>
                <w:right w:val="none" w:sz="0" w:space="0" w:color="auto"/>
              </w:divBdr>
            </w:div>
          </w:divsChild>
        </w:div>
        <w:div w:id="1207911078">
          <w:marLeft w:val="0"/>
          <w:marRight w:val="0"/>
          <w:marTop w:val="0"/>
          <w:marBottom w:val="0"/>
          <w:divBdr>
            <w:top w:val="none" w:sz="0" w:space="0" w:color="auto"/>
            <w:left w:val="none" w:sz="0" w:space="0" w:color="auto"/>
            <w:bottom w:val="none" w:sz="0" w:space="0" w:color="auto"/>
            <w:right w:val="none" w:sz="0" w:space="0" w:color="auto"/>
          </w:divBdr>
          <w:divsChild>
            <w:div w:id="1437091677">
              <w:marLeft w:val="0"/>
              <w:marRight w:val="0"/>
              <w:marTop w:val="0"/>
              <w:marBottom w:val="0"/>
              <w:divBdr>
                <w:top w:val="none" w:sz="0" w:space="0" w:color="auto"/>
                <w:left w:val="none" w:sz="0" w:space="0" w:color="auto"/>
                <w:bottom w:val="none" w:sz="0" w:space="0" w:color="auto"/>
                <w:right w:val="none" w:sz="0" w:space="0" w:color="auto"/>
              </w:divBdr>
            </w:div>
          </w:divsChild>
        </w:div>
        <w:div w:id="1125467241">
          <w:marLeft w:val="0"/>
          <w:marRight w:val="0"/>
          <w:marTop w:val="0"/>
          <w:marBottom w:val="0"/>
          <w:divBdr>
            <w:top w:val="none" w:sz="0" w:space="0" w:color="auto"/>
            <w:left w:val="none" w:sz="0" w:space="0" w:color="auto"/>
            <w:bottom w:val="none" w:sz="0" w:space="0" w:color="auto"/>
            <w:right w:val="none" w:sz="0" w:space="0" w:color="auto"/>
          </w:divBdr>
          <w:divsChild>
            <w:div w:id="116177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void(0)" TargetMode="External"/><Relationship Id="rId21" Type="http://schemas.openxmlformats.org/officeDocument/2006/relationships/hyperlink" Target="javascript:void(0)" TargetMode="External"/><Relationship Id="rId42" Type="http://schemas.openxmlformats.org/officeDocument/2006/relationships/hyperlink" Target="https://journals.lww.com/prsgo/Fulltext/2016/07000/An_Alternative_Technique_for_Immediate.5.aspx" TargetMode="External"/><Relationship Id="rId47" Type="http://schemas.openxmlformats.org/officeDocument/2006/relationships/hyperlink" Target="https://journals.lww.com/prsgo/Fulltext/2016/07000/An_Alternative_Technique_for_Immediate.5.aspx" TargetMode="External"/><Relationship Id="rId63" Type="http://schemas.openxmlformats.org/officeDocument/2006/relationships/hyperlink" Target="http://content.wkhealth.com/linkback/etoc/pt/fulltext.00000637-201208000-00006.htm" TargetMode="External"/><Relationship Id="rId68" Type="http://schemas.openxmlformats.org/officeDocument/2006/relationships/hyperlink" Target="https://journals.lww.com/prsgo/Fulltext/2016/07000/An_Alternative_Technique_for_Immediate.5.aspx" TargetMode="External"/><Relationship Id="rId84" Type="http://schemas.openxmlformats.org/officeDocument/2006/relationships/hyperlink" Target="http://www.ncbi.nlm.nih.gov/pubmed/19116505" TargetMode="External"/><Relationship Id="rId89" Type="http://schemas.openxmlformats.org/officeDocument/2006/relationships/hyperlink" Target="http://content.wkhealth.com/linkback/etoc/pt/fulltext.00000637-201210000-00003.htm" TargetMode="External"/><Relationship Id="rId2" Type="http://schemas.openxmlformats.org/officeDocument/2006/relationships/styles" Target="styles.xml"/><Relationship Id="rId16" Type="http://schemas.openxmlformats.org/officeDocument/2006/relationships/hyperlink" Target="https://journals.lww.com/prsgo/Fulltext/2016/07000/An_Alternative_Technique_for_Immediate.5.aspx" TargetMode="External"/><Relationship Id="rId29" Type="http://schemas.openxmlformats.org/officeDocument/2006/relationships/hyperlink" Target="https://journals.lww.com/prsgo/Fulltext/2016/07000/An_Alternative_Technique_for_Immediate.5.aspx" TargetMode="External"/><Relationship Id="rId107" Type="http://schemas.openxmlformats.org/officeDocument/2006/relationships/hyperlink" Target="https://journals.lww.com/prsgo/Fulltext/2016/07000/An_Alternative_Technique_for_Immediate.5.aspx" TargetMode="External"/><Relationship Id="rId11" Type="http://schemas.openxmlformats.org/officeDocument/2006/relationships/image" Target="media/image2.jpeg"/><Relationship Id="rId24" Type="http://schemas.openxmlformats.org/officeDocument/2006/relationships/hyperlink" Target="http://links.lww.com/PRSGO/A239" TargetMode="External"/><Relationship Id="rId32" Type="http://schemas.openxmlformats.org/officeDocument/2006/relationships/hyperlink" Target="javascript:void(0)" TargetMode="External"/><Relationship Id="rId37" Type="http://schemas.openxmlformats.org/officeDocument/2006/relationships/hyperlink" Target="https://journals.lww.com/prsgo/Fulltext/2016/07000/An_Alternative_Technique_for_Immediate.5.aspx" TargetMode="External"/><Relationship Id="rId40" Type="http://schemas.openxmlformats.org/officeDocument/2006/relationships/hyperlink" Target="https://journals.lww.com/prsgo/Fulltext/2016/07000/An_Alternative_Technique_for_Immediate.5.aspx" TargetMode="External"/><Relationship Id="rId45" Type="http://schemas.openxmlformats.org/officeDocument/2006/relationships/hyperlink" Target="https://journals.lww.com/prsgo/Fulltext/2016/07000/An_Alternative_Technique_for_Immediate.5.aspx" TargetMode="External"/><Relationship Id="rId53" Type="http://schemas.openxmlformats.org/officeDocument/2006/relationships/hyperlink" Target="javascript:void(0)" TargetMode="External"/><Relationship Id="rId58" Type="http://schemas.openxmlformats.org/officeDocument/2006/relationships/hyperlink" Target="http://content.wkhealth.com/linkback/etoc/pt/fulltext.00000637-200509000-00002.htm" TargetMode="External"/><Relationship Id="rId66" Type="http://schemas.openxmlformats.org/officeDocument/2006/relationships/hyperlink" Target="http://content.wkhealth.com/linkback/etoc/pt/fulltext.00006534-201112000-00005.htm" TargetMode="External"/><Relationship Id="rId74" Type="http://schemas.openxmlformats.org/officeDocument/2006/relationships/hyperlink" Target="http://www.ncbi.nlm.nih.gov/pubmed/23508050" TargetMode="External"/><Relationship Id="rId79" Type="http://schemas.openxmlformats.org/officeDocument/2006/relationships/hyperlink" Target="https://journals.lww.com/prsgo/Fulltext/2016/07000/An_Alternative_Technique_for_Immediate.5.aspx" TargetMode="External"/><Relationship Id="rId87" Type="http://schemas.openxmlformats.org/officeDocument/2006/relationships/hyperlink" Target="http://www.ncbi.nlm.nih.gov/pubmed/23429218" TargetMode="External"/><Relationship Id="rId102" Type="http://schemas.openxmlformats.org/officeDocument/2006/relationships/hyperlink" Target="https://journals.lww.com/prsgo/Fulltext/2016/07000/An_Alternative_Technique_for_Immediate.5.aspx" TargetMode="External"/><Relationship Id="rId110"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journals.lww.com/prsgo/Fulltext/2016/07000/An_Alternative_Technique_for_Immediate.5.aspx" TargetMode="External"/><Relationship Id="rId82" Type="http://schemas.openxmlformats.org/officeDocument/2006/relationships/hyperlink" Target="https://journals.lww.com/prsgo/Fulltext/2016/07000/An_Alternative_Technique_for_Immediate.5.aspx" TargetMode="External"/><Relationship Id="rId90" Type="http://schemas.openxmlformats.org/officeDocument/2006/relationships/hyperlink" Target="http://www.ncbi.nlm.nih.gov/pubmed/22868313" TargetMode="External"/><Relationship Id="rId95" Type="http://schemas.openxmlformats.org/officeDocument/2006/relationships/hyperlink" Target="http://content.wkhealth.com/linkback/etoc/pt/fulltext.00000658-200901000-00006.htm" TargetMode="External"/><Relationship Id="rId19" Type="http://schemas.openxmlformats.org/officeDocument/2006/relationships/hyperlink" Target="javascript:void(0)" TargetMode="External"/><Relationship Id="rId14" Type="http://schemas.openxmlformats.org/officeDocument/2006/relationships/hyperlink" Target="https://journals.lww.com/prsgo/Fulltext/2016/07000/An_Alternative_Technique_for_Immediate.5.aspx" TargetMode="External"/><Relationship Id="rId22" Type="http://schemas.openxmlformats.org/officeDocument/2006/relationships/hyperlink" Target="javascript:void(0)" TargetMode="External"/><Relationship Id="rId27" Type="http://schemas.openxmlformats.org/officeDocument/2006/relationships/hyperlink" Target="https://journals.lww.com/prsgo/Fulltext/2016/07000/An_Alternative_Technique_for_Immediate.5.aspx" TargetMode="External"/><Relationship Id="rId30" Type="http://schemas.openxmlformats.org/officeDocument/2006/relationships/hyperlink" Target="javascript:void(0)" TargetMode="External"/><Relationship Id="rId35" Type="http://schemas.openxmlformats.org/officeDocument/2006/relationships/hyperlink" Target="javascript:void(0)" TargetMode="External"/><Relationship Id="rId43" Type="http://schemas.openxmlformats.org/officeDocument/2006/relationships/hyperlink" Target="https://journals.lww.com/prsgo/Fulltext/2016/07000/An_Alternative_Technique_for_Immediate.5.aspx" TargetMode="External"/><Relationship Id="rId48" Type="http://schemas.openxmlformats.org/officeDocument/2006/relationships/hyperlink" Target="https://journals.lww.com/prsgo/Fulltext/2016/07000/An_Alternative_Technique_for_Immediate.5.aspx" TargetMode="External"/><Relationship Id="rId56" Type="http://schemas.openxmlformats.org/officeDocument/2006/relationships/hyperlink" Target="http://www.ncbi.nlm.nih.gov/pubmed/20574484" TargetMode="External"/><Relationship Id="rId64" Type="http://schemas.openxmlformats.org/officeDocument/2006/relationships/hyperlink" Target="http://www.ncbi.nlm.nih.gov/pubmed/21734545" TargetMode="External"/><Relationship Id="rId69" Type="http://schemas.openxmlformats.org/officeDocument/2006/relationships/hyperlink" Target="https://journals.lww.com/prsgo/Fulltext/2016/07000/An_Alternative_Technique_for_Immediate.5.aspx" TargetMode="External"/><Relationship Id="rId77" Type="http://schemas.openxmlformats.org/officeDocument/2006/relationships/hyperlink" Target="http://www.ncbi.nlm.nih.gov/pubmed/25539330" TargetMode="External"/><Relationship Id="rId100" Type="http://schemas.openxmlformats.org/officeDocument/2006/relationships/hyperlink" Target="http://content.wkhealth.com/linkback/etoc/pt/fulltext.00006534-201306000-00002.htm" TargetMode="External"/><Relationship Id="rId105" Type="http://schemas.openxmlformats.org/officeDocument/2006/relationships/hyperlink" Target="http://content.wkhealth.com/linkback/etoc/pt/fulltext.00006534-201406000-00056.htm" TargetMode="External"/><Relationship Id="rId8" Type="http://schemas.openxmlformats.org/officeDocument/2006/relationships/hyperlink" Target="https://journals.lww.com/prsgo/Fulltext/2016/07000/An_Alternative_Technique_for_Immediate.5.aspx" TargetMode="External"/><Relationship Id="rId51" Type="http://schemas.openxmlformats.org/officeDocument/2006/relationships/hyperlink" Target="javascript:void(0)" TargetMode="External"/><Relationship Id="rId72" Type="http://schemas.openxmlformats.org/officeDocument/2006/relationships/hyperlink" Target="https://journals.lww.com/prsgo/Fulltext/2016/07000/An_Alternative_Technique_for_Immediate.5.aspx" TargetMode="External"/><Relationship Id="rId80" Type="http://schemas.openxmlformats.org/officeDocument/2006/relationships/hyperlink" Target="http://content.wkhealth.com/linkback/etoc/pt/fulltext.00000637-201204000-00005.htm" TargetMode="External"/><Relationship Id="rId85" Type="http://schemas.openxmlformats.org/officeDocument/2006/relationships/hyperlink" Target="https://journals.lww.com/prsgo/Fulltext/2016/07000/An_Alternative_Technique_for_Immediate.5.aspx" TargetMode="External"/><Relationship Id="rId93" Type="http://schemas.openxmlformats.org/officeDocument/2006/relationships/hyperlink" Target="http://www.ncbi.nlm.nih.gov/pubmed/23636114" TargetMode="External"/><Relationship Id="rId98" Type="http://schemas.openxmlformats.org/officeDocument/2006/relationships/hyperlink" Target="http://www.ncbi.nlm.nih.gov/pubmed/20409522" TargetMode="External"/><Relationship Id="rId3" Type="http://schemas.openxmlformats.org/officeDocument/2006/relationships/settings" Target="settings.xml"/><Relationship Id="rId12" Type="http://schemas.openxmlformats.org/officeDocument/2006/relationships/hyperlink" Target="https://journals.lww.com/prsgo/Fulltext/2016/07000/An_Alternative_Technique_for_Immediate.5.aspx"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33" Type="http://schemas.openxmlformats.org/officeDocument/2006/relationships/hyperlink" Target="javascript:void(0)" TargetMode="External"/><Relationship Id="rId38" Type="http://schemas.openxmlformats.org/officeDocument/2006/relationships/hyperlink" Target="https://journals.lww.com/prsgo/Fulltext/2016/07000/An_Alternative_Technique_for_Immediate.5.aspx" TargetMode="External"/><Relationship Id="rId46" Type="http://schemas.openxmlformats.org/officeDocument/2006/relationships/hyperlink" Target="https://journals.lww.com/prsgo/Fulltext/2016/07000/An_Alternative_Technique_for_Immediate.5.aspx" TargetMode="External"/><Relationship Id="rId59" Type="http://schemas.openxmlformats.org/officeDocument/2006/relationships/hyperlink" Target="http://www.ncbi.nlm.nih.gov/pubmed/16106158" TargetMode="External"/><Relationship Id="rId67" Type="http://schemas.openxmlformats.org/officeDocument/2006/relationships/hyperlink" Target="http://www.ncbi.nlm.nih.gov/pubmed/22094736" TargetMode="External"/><Relationship Id="rId103" Type="http://schemas.openxmlformats.org/officeDocument/2006/relationships/hyperlink" Target="http://www.ncbi.nlm.nih.gov/pubmed/20619645" TargetMode="External"/><Relationship Id="rId108" Type="http://schemas.openxmlformats.org/officeDocument/2006/relationships/hyperlink" Target="http://www.ncbi.nlm.nih.gov/pubmed/25455288" TargetMode="External"/><Relationship Id="rId20" Type="http://schemas.openxmlformats.org/officeDocument/2006/relationships/hyperlink" Target="javascript:void(0)" TargetMode="External"/><Relationship Id="rId41" Type="http://schemas.openxmlformats.org/officeDocument/2006/relationships/hyperlink" Target="https://journals.lww.com/prsgo/Fulltext/2016/07000/An_Alternative_Technique_for_Immediate.5.aspx" TargetMode="External"/><Relationship Id="rId54" Type="http://schemas.openxmlformats.org/officeDocument/2006/relationships/hyperlink" Target="https://journals.lww.com/prsgo/Fulltext/2016/07000/An_Alternative_Technique_for_Immediate.5.aspx" TargetMode="External"/><Relationship Id="rId62" Type="http://schemas.openxmlformats.org/officeDocument/2006/relationships/hyperlink" Target="https://journals.lww.com/prsgo/Fulltext/2016/07000/An_Alternative_Technique_for_Immediate.5.aspx" TargetMode="External"/><Relationship Id="rId70" Type="http://schemas.openxmlformats.org/officeDocument/2006/relationships/hyperlink" Target="http://content.wkhealth.com/linkback/etoc/pt/fulltext.00000637-200303000-00004.htm" TargetMode="External"/><Relationship Id="rId75" Type="http://schemas.openxmlformats.org/officeDocument/2006/relationships/hyperlink" Target="https://journals.lww.com/prsgo/Fulltext/2016/07000/An_Alternative_Technique_for_Immediate.5.aspx" TargetMode="External"/><Relationship Id="rId83" Type="http://schemas.openxmlformats.org/officeDocument/2006/relationships/hyperlink" Target="http://content.wkhealth.com/linkback/etoc/pt/fulltext.00006534-200901000-00001.htm" TargetMode="External"/><Relationship Id="rId88" Type="http://schemas.openxmlformats.org/officeDocument/2006/relationships/hyperlink" Target="https://journals.lww.com/prsgo/Fulltext/2016/07000/An_Alternative_Technique_for_Immediate.5.aspx" TargetMode="External"/><Relationship Id="rId91" Type="http://schemas.openxmlformats.org/officeDocument/2006/relationships/hyperlink" Target="https://journals.lww.com/prsgo/Fulltext/2016/07000/An_Alternative_Technique_for_Immediate.5.aspx" TargetMode="External"/><Relationship Id="rId96" Type="http://schemas.openxmlformats.org/officeDocument/2006/relationships/hyperlink" Target="http://www.ncbi.nlm.nih.gov/pubmed/19106672" TargetMode="External"/><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journals.lww.com/prsgo/Fulltext/2016/07000/An_Alternative_Technique_for_Immediate.5.aspx" TargetMode="External"/><Relationship Id="rId23" Type="http://schemas.openxmlformats.org/officeDocument/2006/relationships/hyperlink" Target="javascript:void(0)" TargetMode="External"/><Relationship Id="rId28" Type="http://schemas.openxmlformats.org/officeDocument/2006/relationships/hyperlink" Target="javascript:void(0)" TargetMode="External"/><Relationship Id="rId36" Type="http://schemas.openxmlformats.org/officeDocument/2006/relationships/hyperlink" Target="https://journals.lww.com/prsgo/Fulltext/2016/07000/An_Alternative_Technique_for_Immediate.5.aspx" TargetMode="External"/><Relationship Id="rId49" Type="http://schemas.openxmlformats.org/officeDocument/2006/relationships/hyperlink" Target="javascript:void(0)" TargetMode="External"/><Relationship Id="rId57" Type="http://schemas.openxmlformats.org/officeDocument/2006/relationships/hyperlink" Target="https://journals.lww.com/prsgo/Fulltext/2016/07000/An_Alternative_Technique_for_Immediate.5.aspx" TargetMode="External"/><Relationship Id="rId106" Type="http://schemas.openxmlformats.org/officeDocument/2006/relationships/hyperlink" Target="http://www.ncbi.nlm.nih.gov/pubmed/24867763" TargetMode="External"/><Relationship Id="rId10" Type="http://schemas.openxmlformats.org/officeDocument/2006/relationships/hyperlink" Target="http://links.lww.com/PRSGO/A239" TargetMode="External"/><Relationship Id="rId31" Type="http://schemas.openxmlformats.org/officeDocument/2006/relationships/hyperlink" Target="javascript:void(0)" TargetMode="External"/><Relationship Id="rId44" Type="http://schemas.openxmlformats.org/officeDocument/2006/relationships/hyperlink" Target="https://journals.lww.com/prsgo/Fulltext/2016/07000/An_Alternative_Technique_for_Immediate.5.aspx" TargetMode="External"/><Relationship Id="rId52" Type="http://schemas.openxmlformats.org/officeDocument/2006/relationships/hyperlink" Target="https://journals.lww.com/prsgo/Fulltext/2016/07000/An_Alternative_Technique_for_Immediate.5.aspx" TargetMode="External"/><Relationship Id="rId60" Type="http://schemas.openxmlformats.org/officeDocument/2006/relationships/hyperlink" Target="http://www.plasticsurgery.org/Documents/news-resources/statistics/2014-statistics/plastic-surgery-statsitics-full-report.pdf" TargetMode="External"/><Relationship Id="rId65" Type="http://schemas.openxmlformats.org/officeDocument/2006/relationships/hyperlink" Target="https://journals.lww.com/prsgo/Fulltext/2016/07000/An_Alternative_Technique_for_Immediate.5.aspx" TargetMode="External"/><Relationship Id="rId73" Type="http://schemas.openxmlformats.org/officeDocument/2006/relationships/hyperlink" Target="http://content.wkhealth.com/linkback/etoc/pt/fulltext.00006534-201307000-00001.htm" TargetMode="External"/><Relationship Id="rId78" Type="http://schemas.openxmlformats.org/officeDocument/2006/relationships/hyperlink" Target="https://journals.lww.com/prsgo/Fulltext/2016/07000/An_Alternative_Technique_for_Immediate.5.aspx" TargetMode="External"/><Relationship Id="rId81" Type="http://schemas.openxmlformats.org/officeDocument/2006/relationships/hyperlink" Target="http://www.ncbi.nlm.nih.gov/pubmed/22421476" TargetMode="External"/><Relationship Id="rId86" Type="http://schemas.openxmlformats.org/officeDocument/2006/relationships/hyperlink" Target="http://content.wkhealth.com/linkback/etoc/pt/fulltext.00000637-201306000-00007.htm" TargetMode="External"/><Relationship Id="rId94" Type="http://schemas.openxmlformats.org/officeDocument/2006/relationships/hyperlink" Target="https://journals.lww.com/prsgo/Fulltext/2016/07000/An_Alternative_Technique_for_Immediate.5.aspx" TargetMode="External"/><Relationship Id="rId99" Type="http://schemas.openxmlformats.org/officeDocument/2006/relationships/hyperlink" Target="https://journals.lww.com/prsgo/Fulltext/2016/07000/An_Alternative_Technique_for_Immediate.5.aspx" TargetMode="External"/><Relationship Id="rId101" Type="http://schemas.openxmlformats.org/officeDocument/2006/relationships/hyperlink" Target="http://www.ncbi.nlm.nih.gov/pubmed/23714788"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https://journals.lww.com/prsgo/Fulltext/2016/07000/An_Alternative_Technique_for_Immediate.5.aspx" TargetMode="External"/><Relationship Id="rId18" Type="http://schemas.openxmlformats.org/officeDocument/2006/relationships/hyperlink" Target="https://journals.lww.com/prsgo/Fulltext/2016/07000/An_Alternative_Technique_for_Immediate.5.aspx" TargetMode="External"/><Relationship Id="rId39" Type="http://schemas.openxmlformats.org/officeDocument/2006/relationships/hyperlink" Target="https://journals.lww.com/prsgo/Fulltext/2016/07000/An_Alternative_Technique_for_Immediate.5.aspx" TargetMode="External"/><Relationship Id="rId109" Type="http://schemas.openxmlformats.org/officeDocument/2006/relationships/hyperlink" Target="http://links.lww.com/PRSGO/A239" TargetMode="External"/><Relationship Id="rId34" Type="http://schemas.openxmlformats.org/officeDocument/2006/relationships/hyperlink" Target="https://journals.lww.com/prsgo/Fulltext/2016/07000/An_Alternative_Technique_for_Immediate.5.aspx" TargetMode="External"/><Relationship Id="rId50" Type="http://schemas.openxmlformats.org/officeDocument/2006/relationships/hyperlink" Target="https://journals.lww.com/prsgo/Fulltext/2016/07000/An_Alternative_Technique_for_Immediate.5.aspx" TargetMode="External"/><Relationship Id="rId55" Type="http://schemas.openxmlformats.org/officeDocument/2006/relationships/hyperlink" Target="http://content.wkhealth.com/linkback/etoc/pt/fulltext.00078609-200418020-00003.htm" TargetMode="External"/><Relationship Id="rId76" Type="http://schemas.openxmlformats.org/officeDocument/2006/relationships/hyperlink" Target="http://content.wkhealth.com/linkback/etoc/pt/fulltext.00006534-201501000-00008.htm" TargetMode="External"/><Relationship Id="rId97" Type="http://schemas.openxmlformats.org/officeDocument/2006/relationships/hyperlink" Target="https://journals.lww.com/prsgo/Fulltext/2016/07000/An_Alternative_Technique_for_Immediate.5.aspx" TargetMode="External"/><Relationship Id="rId104" Type="http://schemas.openxmlformats.org/officeDocument/2006/relationships/hyperlink" Target="https://journals.lww.com/prsgo/Fulltext/2016/07000/An_Alternative_Technique_for_Immediate.5.aspx" TargetMode="External"/><Relationship Id="rId7" Type="http://schemas.openxmlformats.org/officeDocument/2006/relationships/hyperlink" Target="https://journals.lww.com/prsgo/toc/2016/07000" TargetMode="External"/><Relationship Id="rId71" Type="http://schemas.openxmlformats.org/officeDocument/2006/relationships/hyperlink" Target="http://www.ncbi.nlm.nih.gov/pubmed/12800900" TargetMode="External"/><Relationship Id="rId92" Type="http://schemas.openxmlformats.org/officeDocument/2006/relationships/hyperlink" Target="http://content.wkhealth.com/linkback/etoc/pt/fulltext.00000637-201405000-0000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5911</Words>
  <Characters>33697</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 Greenlee</dc:creator>
  <cp:keywords/>
  <dc:description/>
  <cp:lastModifiedBy>Shana Greenlee</cp:lastModifiedBy>
  <cp:revision>1</cp:revision>
  <dcterms:created xsi:type="dcterms:W3CDTF">2019-03-14T13:21:00Z</dcterms:created>
  <dcterms:modified xsi:type="dcterms:W3CDTF">2019-03-14T13:22:00Z</dcterms:modified>
</cp:coreProperties>
</file>