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D1" w:rsidRPr="00821134" w:rsidRDefault="00A72FD1" w:rsidP="00A72FD1">
      <w:pPr>
        <w:rPr>
          <w:rFonts w:asciiTheme="majorBidi" w:hAnsiTheme="majorBidi" w:cstheme="majorBidi"/>
          <w:sz w:val="24"/>
          <w:szCs w:val="24"/>
        </w:rPr>
      </w:pPr>
      <w:r w:rsidRPr="00821134">
        <w:rPr>
          <w:rFonts w:asciiTheme="majorBidi" w:hAnsiTheme="majorBidi" w:cstheme="majorBidi"/>
          <w:b/>
          <w:sz w:val="28"/>
          <w:szCs w:val="28"/>
        </w:rPr>
        <w:t xml:space="preserve">Biochemical and biological effects of </w:t>
      </w:r>
      <w:proofErr w:type="spellStart"/>
      <w:r w:rsidRPr="00821134">
        <w:rPr>
          <w:rFonts w:asciiTheme="majorBidi" w:hAnsiTheme="majorBidi" w:cstheme="majorBidi"/>
          <w:b/>
          <w:sz w:val="28"/>
          <w:szCs w:val="28"/>
        </w:rPr>
        <w:t>irisin</w:t>
      </w:r>
      <w:proofErr w:type="spellEnd"/>
      <w:r w:rsidRPr="00821134">
        <w:rPr>
          <w:rFonts w:asciiTheme="majorBidi" w:hAnsiTheme="majorBidi" w:cstheme="majorBidi"/>
          <w:b/>
          <w:sz w:val="28"/>
          <w:szCs w:val="28"/>
        </w:rPr>
        <w:t xml:space="preserve"> in a model of diabetes mellitus</w:t>
      </w:r>
    </w:p>
    <w:p w:rsidR="005973B9" w:rsidRDefault="00A72FD1" w:rsidP="005973B9">
      <w:pPr>
        <w:pStyle w:val="BodyText"/>
        <w:spacing w:before="73" w:line="198" w:lineRule="exact"/>
        <w:ind w:left="100" w:right="5987"/>
        <w:rPr>
          <w:rFonts w:ascii="Arial"/>
        </w:rPr>
      </w:pPr>
      <w:r>
        <w:rPr>
          <w:rFonts w:ascii="Arial"/>
        </w:rPr>
        <w:t xml:space="preserve">Mohamed </w:t>
      </w:r>
      <w:proofErr w:type="spellStart"/>
      <w:r>
        <w:rPr>
          <w:rFonts w:ascii="Arial"/>
        </w:rPr>
        <w:t>Mahgoub</w:t>
      </w:r>
      <w:proofErr w:type="spellEnd"/>
      <w:r w:rsidR="00065718">
        <w:rPr>
          <w:rFonts w:ascii="Arial"/>
        </w:rPr>
        <w:t xml:space="preserve">, </w:t>
      </w:r>
      <w:r>
        <w:rPr>
          <w:rFonts w:ascii="Arial"/>
        </w:rPr>
        <w:t>UAE University, UAE</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72FD1" w:rsidRPr="000303F5" w:rsidRDefault="00A72FD1" w:rsidP="00A72FD1">
      <w:pPr>
        <w:pStyle w:val="Heading3"/>
        <w:spacing w:before="74"/>
        <w:ind w:left="101"/>
        <w:jc w:val="both"/>
        <w:rPr>
          <w:b w:val="0"/>
          <w:bCs w:val="0"/>
        </w:rPr>
      </w:pPr>
      <w:r w:rsidRPr="000303F5">
        <w:rPr>
          <w:b w:val="0"/>
          <w:bCs w:val="0"/>
        </w:rPr>
        <w:t xml:space="preserve">Diabetes mellitus (DM) is a highly prevalent health problem affecting more than 425 million people worldwide. It is associated with several detrimental complications such as neuropathy, nephropathy, retinopathy and cardiovascular diseases. </w:t>
      </w:r>
      <w:proofErr w:type="spellStart"/>
      <w:r w:rsidRPr="000303F5">
        <w:rPr>
          <w:b w:val="0"/>
          <w:bCs w:val="0"/>
        </w:rPr>
        <w:t>Irisin</w:t>
      </w:r>
      <w:proofErr w:type="spellEnd"/>
      <w:r w:rsidRPr="000303F5">
        <w:rPr>
          <w:b w:val="0"/>
          <w:bCs w:val="0"/>
        </w:rPr>
        <w:t xml:space="preserve"> is a novel hormone that plays a role in metabolism by stimulating the browning of white adipose tissue (WAT) into beige adipose tissue which acquires properties that are similar to those of brown adipose tissue (BAT). Several studies have attempted to characterize the roles of </w:t>
      </w:r>
      <w:proofErr w:type="spellStart"/>
      <w:r w:rsidRPr="000303F5">
        <w:rPr>
          <w:b w:val="0"/>
          <w:bCs w:val="0"/>
        </w:rPr>
        <w:t>irisin</w:t>
      </w:r>
      <w:proofErr w:type="spellEnd"/>
      <w:r w:rsidRPr="000303F5">
        <w:rPr>
          <w:b w:val="0"/>
          <w:bCs w:val="0"/>
        </w:rPr>
        <w:t xml:space="preserve"> in DM and obesity, however, contradictory results have been reported and physiological roles of </w:t>
      </w:r>
      <w:proofErr w:type="spellStart"/>
      <w:r w:rsidRPr="000303F5">
        <w:rPr>
          <w:b w:val="0"/>
          <w:bCs w:val="0"/>
        </w:rPr>
        <w:t>irisin</w:t>
      </w:r>
      <w:proofErr w:type="spellEnd"/>
      <w:r w:rsidRPr="000303F5">
        <w:rPr>
          <w:b w:val="0"/>
          <w:bCs w:val="0"/>
        </w:rPr>
        <w:t xml:space="preserve"> have been questioned by several researchers. In our study, we investigated the role of </w:t>
      </w:r>
      <w:proofErr w:type="spellStart"/>
      <w:r w:rsidRPr="000303F5">
        <w:rPr>
          <w:b w:val="0"/>
          <w:bCs w:val="0"/>
        </w:rPr>
        <w:t>irisin</w:t>
      </w:r>
      <w:proofErr w:type="spellEnd"/>
      <w:r w:rsidRPr="000303F5">
        <w:rPr>
          <w:b w:val="0"/>
          <w:bCs w:val="0"/>
        </w:rPr>
        <w:t xml:space="preserve"> in controlling glucose levels and insulin secretion in STZ-induced DM model and the mechanism by which </w:t>
      </w:r>
      <w:proofErr w:type="spellStart"/>
      <w:r w:rsidRPr="000303F5">
        <w:rPr>
          <w:b w:val="0"/>
          <w:bCs w:val="0"/>
        </w:rPr>
        <w:t>irisin</w:t>
      </w:r>
      <w:proofErr w:type="spellEnd"/>
      <w:r w:rsidRPr="000303F5">
        <w:rPr>
          <w:b w:val="0"/>
          <w:bCs w:val="0"/>
        </w:rPr>
        <w:t xml:space="preserve"> exerts its beneficial effects both </w:t>
      </w:r>
      <w:r w:rsidRPr="000303F5">
        <w:rPr>
          <w:b w:val="0"/>
          <w:bCs w:val="0"/>
          <w:i/>
          <w:iCs/>
        </w:rPr>
        <w:t>in vivo</w:t>
      </w:r>
      <w:r w:rsidRPr="000303F5">
        <w:rPr>
          <w:b w:val="0"/>
          <w:bCs w:val="0"/>
        </w:rPr>
        <w:t xml:space="preserve"> and </w:t>
      </w:r>
      <w:r w:rsidRPr="000303F5">
        <w:rPr>
          <w:b w:val="0"/>
          <w:bCs w:val="0"/>
          <w:i/>
          <w:iCs/>
        </w:rPr>
        <w:t xml:space="preserve">in vitro, </w:t>
      </w:r>
      <w:r w:rsidRPr="000303F5">
        <w:rPr>
          <w:b w:val="0"/>
          <w:bCs w:val="0"/>
        </w:rPr>
        <w:t xml:space="preserve">using a variety of biochemical, morphological and cell biology techniques. We showed that </w:t>
      </w:r>
      <w:proofErr w:type="spellStart"/>
      <w:r w:rsidRPr="000303F5">
        <w:rPr>
          <w:b w:val="0"/>
          <w:bCs w:val="0"/>
        </w:rPr>
        <w:t>irisin</w:t>
      </w:r>
      <w:proofErr w:type="spellEnd"/>
      <w:r w:rsidRPr="000303F5">
        <w:rPr>
          <w:b w:val="0"/>
          <w:bCs w:val="0"/>
        </w:rPr>
        <w:t xml:space="preserve"> did not cause any significant reduction in weight or fasting blood glucose, however, it caused a significant glucose reduction 30 minutes after glucose challenge. Our data also showed that </w:t>
      </w:r>
      <w:proofErr w:type="spellStart"/>
      <w:r w:rsidRPr="000303F5">
        <w:rPr>
          <w:b w:val="0"/>
          <w:bCs w:val="0"/>
        </w:rPr>
        <w:t>irisin</w:t>
      </w:r>
      <w:proofErr w:type="spellEnd"/>
      <w:r w:rsidRPr="000303F5">
        <w:rPr>
          <w:b w:val="0"/>
          <w:bCs w:val="0"/>
        </w:rPr>
        <w:t xml:space="preserve"> co-localizes with insulin in pancreatic β-cells in both normal and diabetic animals while it co-localizes with glucagon only in diabetic animals. Moreover, </w:t>
      </w:r>
      <w:proofErr w:type="spellStart"/>
      <w:r w:rsidRPr="000303F5">
        <w:rPr>
          <w:b w:val="0"/>
          <w:bCs w:val="0"/>
        </w:rPr>
        <w:t>irisin</w:t>
      </w:r>
      <w:proofErr w:type="spellEnd"/>
      <w:r w:rsidRPr="000303F5">
        <w:rPr>
          <w:b w:val="0"/>
          <w:bCs w:val="0"/>
        </w:rPr>
        <w:t xml:space="preserve"> was also detected in skeletal muscle, visceral and subcutaneous adipose tissues. </w:t>
      </w:r>
      <w:proofErr w:type="spellStart"/>
      <w:r w:rsidRPr="000303F5">
        <w:rPr>
          <w:b w:val="0"/>
          <w:bCs w:val="0"/>
        </w:rPr>
        <w:t>Irisin</w:t>
      </w:r>
      <w:proofErr w:type="spellEnd"/>
      <w:r w:rsidRPr="000303F5">
        <w:rPr>
          <w:b w:val="0"/>
          <w:bCs w:val="0"/>
        </w:rPr>
        <w:t xml:space="preserve"> also reduced triglycerides and increased the level of high density lipoprotein (HDL) and total protein. We also provided evidence that </w:t>
      </w:r>
      <w:proofErr w:type="spellStart"/>
      <w:r w:rsidRPr="000303F5">
        <w:rPr>
          <w:b w:val="0"/>
          <w:bCs w:val="0"/>
        </w:rPr>
        <w:t>irisin</w:t>
      </w:r>
      <w:proofErr w:type="spellEnd"/>
      <w:r w:rsidRPr="000303F5">
        <w:rPr>
          <w:b w:val="0"/>
          <w:bCs w:val="0"/>
        </w:rPr>
        <w:t xml:space="preserve"> treatment can modulate the tissue level of different peptide hormones such as insulin, glucagon, </w:t>
      </w:r>
      <w:proofErr w:type="spellStart"/>
      <w:r w:rsidRPr="000303F5">
        <w:rPr>
          <w:b w:val="0"/>
          <w:bCs w:val="0"/>
        </w:rPr>
        <w:t>incretins</w:t>
      </w:r>
      <w:proofErr w:type="spellEnd"/>
      <w:r w:rsidRPr="000303F5">
        <w:rPr>
          <w:b w:val="0"/>
          <w:bCs w:val="0"/>
        </w:rPr>
        <w:t xml:space="preserve"> and </w:t>
      </w:r>
      <w:proofErr w:type="spellStart"/>
      <w:r w:rsidRPr="000303F5">
        <w:rPr>
          <w:b w:val="0"/>
          <w:bCs w:val="0"/>
        </w:rPr>
        <w:t>leptin</w:t>
      </w:r>
      <w:proofErr w:type="spellEnd"/>
      <w:r w:rsidRPr="000303F5">
        <w:rPr>
          <w:b w:val="0"/>
          <w:bCs w:val="0"/>
        </w:rPr>
        <w:t xml:space="preserve">. In addition, </w:t>
      </w:r>
      <w:proofErr w:type="spellStart"/>
      <w:r w:rsidRPr="000303F5">
        <w:rPr>
          <w:b w:val="0"/>
          <w:bCs w:val="0"/>
        </w:rPr>
        <w:t>irisin</w:t>
      </w:r>
      <w:proofErr w:type="spellEnd"/>
      <w:r w:rsidRPr="000303F5">
        <w:rPr>
          <w:b w:val="0"/>
          <w:bCs w:val="0"/>
        </w:rPr>
        <w:t xml:space="preserve"> possesses a potent antioxidant activity and reversed oxidative stress induced by DM. Our </w:t>
      </w:r>
      <w:r w:rsidRPr="000303F5">
        <w:rPr>
          <w:b w:val="0"/>
          <w:bCs w:val="0"/>
          <w:i/>
          <w:iCs/>
        </w:rPr>
        <w:t>in vitro</w:t>
      </w:r>
      <w:r w:rsidRPr="000303F5">
        <w:rPr>
          <w:b w:val="0"/>
          <w:bCs w:val="0"/>
        </w:rPr>
        <w:t xml:space="preserve"> investigations showed that </w:t>
      </w:r>
      <w:proofErr w:type="spellStart"/>
      <w:r w:rsidRPr="000303F5">
        <w:rPr>
          <w:b w:val="0"/>
          <w:bCs w:val="0"/>
        </w:rPr>
        <w:t>irisin</w:t>
      </w:r>
      <w:proofErr w:type="spellEnd"/>
      <w:r w:rsidRPr="000303F5">
        <w:rPr>
          <w:b w:val="0"/>
          <w:bCs w:val="0"/>
        </w:rPr>
        <w:t xml:space="preserve"> can stimulate the release of insulin from pancreatic β-cells.  </w:t>
      </w:r>
      <w:proofErr w:type="spellStart"/>
      <w:r w:rsidRPr="000303F5">
        <w:rPr>
          <w:b w:val="0"/>
          <w:bCs w:val="0"/>
        </w:rPr>
        <w:t>Irisin</w:t>
      </w:r>
      <w:proofErr w:type="spellEnd"/>
      <w:r w:rsidRPr="000303F5">
        <w:rPr>
          <w:b w:val="0"/>
          <w:bCs w:val="0"/>
        </w:rPr>
        <w:t xml:space="preserve"> could be a potential therapeutic agent in the management of DM.  </w:t>
      </w:r>
    </w:p>
    <w:p w:rsidR="00A72FD1" w:rsidRPr="00EC261D" w:rsidRDefault="00A9710C" w:rsidP="00EC261D">
      <w:pPr>
        <w:pStyle w:val="Heading3"/>
        <w:spacing w:before="74"/>
      </w:pPr>
      <w:r>
        <w:rPr>
          <w:b w:val="0"/>
        </w:rPr>
        <w:br w:type="column"/>
      </w:r>
      <w:r>
        <w:rPr>
          <w:color w:val="BF5A14"/>
        </w:rPr>
        <w:lastRenderedPageBreak/>
        <w:t>Image</w:t>
      </w:r>
    </w:p>
    <w:p w:rsidR="00A72FD1" w:rsidRDefault="00A72FD1">
      <w:pPr>
        <w:pStyle w:val="BodyText"/>
        <w:spacing w:before="2"/>
        <w:rPr>
          <w:rFonts w:ascii="Arial"/>
          <w:b/>
          <w:sz w:val="16"/>
        </w:rPr>
      </w:pPr>
    </w:p>
    <w:p w:rsidR="00A72FD1" w:rsidRDefault="00A72FD1">
      <w:pPr>
        <w:pStyle w:val="BodyText"/>
        <w:spacing w:before="2"/>
        <w:rPr>
          <w:rFonts w:ascii="Arial"/>
          <w:b/>
          <w:sz w:val="16"/>
        </w:rPr>
      </w:pPr>
      <w:r>
        <w:rPr>
          <w:rFonts w:ascii="Arial"/>
          <w:b/>
          <w:noProof/>
          <w:sz w:val="16"/>
        </w:rPr>
        <w:drawing>
          <wp:inline distT="0" distB="0" distL="0" distR="0">
            <wp:extent cx="3408881" cy="1931213"/>
            <wp:effectExtent l="19050" t="0" r="1069"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srcRect l="739" t="18943" r="58257" b="20932"/>
                    <a:stretch>
                      <a:fillRect/>
                    </a:stretch>
                  </pic:blipFill>
                  <pic:spPr bwMode="auto">
                    <a:xfrm>
                      <a:off x="0" y="0"/>
                      <a:ext cx="3408883" cy="1931214"/>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EC261D" w:rsidRPr="000303F5" w:rsidRDefault="00EC261D" w:rsidP="00EC261D">
      <w:pPr>
        <w:pStyle w:val="EndNoteBibliography"/>
        <w:numPr>
          <w:ilvl w:val="0"/>
          <w:numId w:val="4"/>
        </w:numPr>
        <w:spacing w:after="0"/>
        <w:rPr>
          <w:sz w:val="20"/>
          <w:szCs w:val="20"/>
        </w:rPr>
      </w:pPr>
      <w:r w:rsidRPr="000303F5">
        <w:rPr>
          <w:rFonts w:asciiTheme="majorBidi" w:hAnsiTheme="majorBidi" w:cstheme="majorBidi"/>
          <w:sz w:val="20"/>
          <w:szCs w:val="20"/>
        </w:rPr>
        <w:fldChar w:fldCharType="begin"/>
      </w:r>
      <w:r w:rsidRPr="000303F5">
        <w:rPr>
          <w:rFonts w:asciiTheme="majorBidi" w:hAnsiTheme="majorBidi" w:cstheme="majorBidi"/>
          <w:sz w:val="20"/>
          <w:szCs w:val="20"/>
        </w:rPr>
        <w:instrText xml:space="preserve"> ADDIN EN.REFLIST </w:instrText>
      </w:r>
      <w:r w:rsidRPr="000303F5">
        <w:rPr>
          <w:rFonts w:asciiTheme="majorBidi" w:hAnsiTheme="majorBidi" w:cstheme="majorBidi"/>
          <w:sz w:val="20"/>
          <w:szCs w:val="20"/>
        </w:rPr>
        <w:fldChar w:fldCharType="separate"/>
      </w:r>
      <w:r w:rsidRPr="000303F5">
        <w:rPr>
          <w:sz w:val="20"/>
          <w:szCs w:val="20"/>
        </w:rPr>
        <w:t xml:space="preserve">Ashoor, A., Nordman, J. C., Veltri, D., Yang, K. H., Al Kury, L., Shuba, Y., . . . Oz, M. (2013). Menthol binding and inhibition of alpha7-nicotinic acetylcholine receptors. </w:t>
      </w:r>
      <w:r w:rsidRPr="000303F5">
        <w:rPr>
          <w:i/>
          <w:sz w:val="20"/>
          <w:szCs w:val="20"/>
        </w:rPr>
        <w:t>PLoS One, 8</w:t>
      </w:r>
      <w:r w:rsidRPr="000303F5">
        <w:rPr>
          <w:sz w:val="20"/>
          <w:szCs w:val="20"/>
        </w:rPr>
        <w:t>(7), e67674. doi:10.1371/journal.pone.0067674</w:t>
      </w:r>
    </w:p>
    <w:p w:rsidR="00EC261D" w:rsidRPr="000303F5" w:rsidRDefault="00EC261D" w:rsidP="00EC261D">
      <w:pPr>
        <w:pStyle w:val="EndNoteBibliography"/>
        <w:numPr>
          <w:ilvl w:val="0"/>
          <w:numId w:val="4"/>
        </w:numPr>
        <w:spacing w:after="0"/>
        <w:rPr>
          <w:sz w:val="20"/>
          <w:szCs w:val="20"/>
        </w:rPr>
      </w:pPr>
      <w:r w:rsidRPr="000303F5">
        <w:rPr>
          <w:sz w:val="20"/>
          <w:szCs w:val="20"/>
        </w:rPr>
        <w:t xml:space="preserve">Mahgoub, M., Keun-Hang, S. Y., Sydorenko, V., Ashoor, A., Kabbani, N., Al Kury, L., . . . Oz, M. (2013). Effects of cannabidiol on the function of alpha7-nicotinic acetylcholine receptors. </w:t>
      </w:r>
      <w:r w:rsidRPr="000303F5">
        <w:rPr>
          <w:i/>
          <w:sz w:val="20"/>
          <w:szCs w:val="20"/>
        </w:rPr>
        <w:t>Eur J Pharmacol, 720</w:t>
      </w:r>
      <w:r w:rsidRPr="000303F5">
        <w:rPr>
          <w:sz w:val="20"/>
          <w:szCs w:val="20"/>
        </w:rPr>
        <w:t>(1-3), 310-319. doi:10.1016/j.ejphar.2013.10.011</w:t>
      </w:r>
    </w:p>
    <w:p w:rsidR="00EC261D" w:rsidRPr="000303F5" w:rsidRDefault="00EC261D" w:rsidP="00EC261D">
      <w:pPr>
        <w:pStyle w:val="EndNoteBibliography"/>
        <w:numPr>
          <w:ilvl w:val="0"/>
          <w:numId w:val="4"/>
        </w:numPr>
        <w:spacing w:after="0"/>
        <w:rPr>
          <w:sz w:val="20"/>
          <w:szCs w:val="20"/>
        </w:rPr>
      </w:pPr>
      <w:r w:rsidRPr="000303F5">
        <w:rPr>
          <w:sz w:val="20"/>
          <w:szCs w:val="20"/>
        </w:rPr>
        <w:t xml:space="preserve">Oz, M., Al Kury, L., Keun-Hang, S. Y., Mahgoub, M., &amp; Galadari, S. (2014). Cellular approaches to the interaction between cannabinoid receptor ligands and nicotinic acetylcholine receptors. </w:t>
      </w:r>
      <w:r w:rsidRPr="000303F5">
        <w:rPr>
          <w:i/>
          <w:sz w:val="20"/>
          <w:szCs w:val="20"/>
        </w:rPr>
        <w:t>Eur J Pharmacol, 731</w:t>
      </w:r>
      <w:r w:rsidRPr="000303F5">
        <w:rPr>
          <w:sz w:val="20"/>
          <w:szCs w:val="20"/>
        </w:rPr>
        <w:t>, 100-105. doi:10.1016/j.ejphar.2014.03.010</w:t>
      </w:r>
    </w:p>
    <w:p w:rsidR="005973B9" w:rsidRDefault="00EC261D" w:rsidP="000303F5">
      <w:pPr>
        <w:pStyle w:val="ListParagraph"/>
        <w:tabs>
          <w:tab w:val="left" w:pos="384"/>
        </w:tabs>
        <w:spacing w:before="103" w:line="216" w:lineRule="exact"/>
        <w:ind w:right="138" w:firstLine="0"/>
        <w:rPr>
          <w:sz w:val="18"/>
        </w:rPr>
      </w:pPr>
      <w:r w:rsidRPr="000303F5">
        <w:rPr>
          <w:rFonts w:asciiTheme="majorBidi" w:hAnsiTheme="majorBidi" w:cstheme="majorBidi"/>
          <w:sz w:val="20"/>
          <w:szCs w:val="20"/>
        </w:rPr>
        <w:fldChar w:fldCharType="end"/>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EA79F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30506" w:rsidP="00404E5B">
      <w:pPr>
        <w:spacing w:before="92"/>
        <w:ind w:right="4234"/>
        <w:rPr>
          <w:rFonts w:ascii="Arial"/>
        </w:rPr>
      </w:pPr>
      <w:r>
        <w:rPr>
          <w:noProof/>
        </w:rPr>
        <w:t xml:space="preserve">  </w:t>
      </w:r>
      <w:r w:rsidR="000303F5">
        <w:rPr>
          <w:noProof/>
        </w:rPr>
        <w:drawing>
          <wp:inline distT="0" distB="0" distL="0" distR="0">
            <wp:extent cx="845185" cy="1035050"/>
            <wp:effectExtent l="19050" t="0" r="0" b="0"/>
            <wp:docPr id="11" name="Picture 11" descr="C:\Users\t\Desktop\photograph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Desktop\photographs\Untitled.png"/>
                    <pic:cNvPicPr>
                      <a:picLocks noChangeAspect="1" noChangeArrowheads="1"/>
                    </pic:cNvPicPr>
                  </pic:nvPicPr>
                  <pic:blipFill>
                    <a:blip r:embed="rId10" cstate="print"/>
                    <a:srcRect/>
                    <a:stretch>
                      <a:fillRect/>
                    </a:stretch>
                  </pic:blipFill>
                  <pic:spPr bwMode="auto">
                    <a:xfrm>
                      <a:off x="0" y="0"/>
                      <a:ext cx="845185" cy="1035050"/>
                    </a:xfrm>
                    <a:prstGeom prst="rect">
                      <a:avLst/>
                    </a:prstGeom>
                    <a:noFill/>
                    <a:ln w="9525">
                      <a:noFill/>
                      <a:miter lim="800000"/>
                      <a:headEnd/>
                      <a:tailEnd/>
                    </a:ln>
                  </pic:spPr>
                </pic:pic>
              </a:graphicData>
            </a:graphic>
          </wp:inline>
        </w:drawing>
      </w:r>
      <w:r w:rsidR="008756E6">
        <w:rPr>
          <w:noProof/>
        </w:rPr>
        <w:t xml:space="preserve"> </w:t>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Pr="00630506" w:rsidRDefault="000303F5">
      <w:pPr>
        <w:spacing w:before="41" w:line="154" w:lineRule="exact"/>
        <w:ind w:left="213" w:right="231"/>
        <w:jc w:val="both"/>
        <w:rPr>
          <w:rFonts w:ascii="Arial"/>
          <w:sz w:val="16"/>
          <w:szCs w:val="16"/>
        </w:rPr>
      </w:pPr>
      <w:r w:rsidRPr="00630506">
        <w:rPr>
          <w:rFonts w:ascii="Arial"/>
          <w:sz w:val="16"/>
          <w:szCs w:val="16"/>
        </w:rPr>
        <w:t>I</w:t>
      </w:r>
      <w:r w:rsidRPr="00630506">
        <w:rPr>
          <w:rFonts w:ascii="Arial"/>
          <w:sz w:val="16"/>
          <w:szCs w:val="16"/>
        </w:rPr>
        <w:t>’</w:t>
      </w:r>
      <w:r w:rsidRPr="00630506">
        <w:rPr>
          <w:rFonts w:ascii="Arial"/>
          <w:sz w:val="16"/>
          <w:szCs w:val="16"/>
        </w:rPr>
        <w:t xml:space="preserve">m a pharmacist who has been practicing since graduation in 2009 until date. I have worked in different settings like community pharmacy, hospital pharmacy and ambulatory healthcare centers in UAE. In addition, my passion towards pharmacological research has encouraged me to obtaining my master degree in 2012 and PhD few weeks ago. My focus is on diabetes mellitus pharmacology and discovering new agents that can assist in controlling hyperglycemia and reversing complications associated with it.    </w:t>
      </w:r>
    </w:p>
    <w:p w:rsidR="00AE3E37" w:rsidRDefault="00A9710C">
      <w:pPr>
        <w:spacing w:before="62"/>
        <w:ind w:left="4217" w:right="4235"/>
        <w:jc w:val="center"/>
        <w:rPr>
          <w:rStyle w:val="Hyperlink"/>
          <w:rFonts w:ascii="Arial"/>
          <w:sz w:val="14"/>
        </w:rPr>
      </w:pPr>
      <w:r>
        <w:rPr>
          <w:rFonts w:ascii="Arial"/>
          <w:sz w:val="14"/>
        </w:rPr>
        <w:t xml:space="preserve">Email: </w:t>
      </w:r>
      <w:r w:rsidR="000303F5">
        <w:rPr>
          <w:rFonts w:ascii="Arial"/>
          <w:sz w:val="14"/>
        </w:rPr>
        <w:t>mahgoub_mohd@live.com</w:t>
      </w:r>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bookmarkStart w:id="0" w:name="_GoBack"/>
      <w:bookmarkEnd w:id="0"/>
      <w:r w:rsidR="000303F5">
        <w:rPr>
          <w:rStyle w:val="Hyperlink"/>
          <w:rFonts w:ascii="Arial"/>
          <w:color w:val="auto"/>
          <w:sz w:val="14"/>
          <w:u w:val="none"/>
        </w:rPr>
        <w:t>00971507739087</w:t>
      </w:r>
    </w:p>
    <w:p w:rsidR="00AE3E37" w:rsidRDefault="00EA79F3">
      <w:pPr>
        <w:pStyle w:val="BodyText"/>
        <w:spacing w:before="2"/>
        <w:rPr>
          <w:rFonts w:ascii="Arial"/>
          <w:sz w:val="19"/>
        </w:rPr>
      </w:pPr>
      <w:r w:rsidRPr="00EA79F3">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0303F5" w:rsidRDefault="00630506" w:rsidP="000303F5">
      <w:pPr>
        <w:spacing w:before="39"/>
        <w:rPr>
          <w:rFonts w:ascii="Minion Pro"/>
          <w:b/>
          <w:sz w:val="20"/>
        </w:rPr>
        <w:sectPr w:rsidR="00AE3E37" w:rsidRPr="000303F5">
          <w:type w:val="continuous"/>
          <w:pgSz w:w="11910" w:h="16840"/>
          <w:pgMar w:top="1740" w:right="600" w:bottom="840" w:left="620" w:header="720" w:footer="720" w:gutter="0"/>
          <w:cols w:space="720"/>
        </w:sectPr>
      </w:pPr>
      <w:r>
        <w:rPr>
          <w:rFonts w:ascii="Minion Pro"/>
          <w:b/>
          <w:sz w:val="20"/>
        </w:rPr>
        <w:t>Notes/Comment</w:t>
      </w:r>
    </w:p>
    <w:p w:rsidR="00AE3E37" w:rsidRDefault="00AE3E37" w:rsidP="00630506">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B15" w:rsidRDefault="00176B15">
      <w:r>
        <w:separator/>
      </w:r>
    </w:p>
  </w:endnote>
  <w:endnote w:type="continuationSeparator" w:id="0">
    <w:p w:rsidR="00176B15" w:rsidRDefault="00176B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79F3">
    <w:pPr>
      <w:pStyle w:val="BodyText"/>
      <w:spacing w:line="14" w:lineRule="auto"/>
      <w:rPr>
        <w:sz w:val="20"/>
      </w:rPr>
    </w:pPr>
    <w:r w:rsidRPr="00EA79F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A79F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A79F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B15" w:rsidRDefault="00176B15">
      <w:r>
        <w:separator/>
      </w:r>
    </w:p>
  </w:footnote>
  <w:footnote w:type="continuationSeparator" w:id="0">
    <w:p w:rsidR="00176B15" w:rsidRDefault="00176B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A79F3">
    <w:pPr>
      <w:pStyle w:val="BodyText"/>
      <w:spacing w:line="14" w:lineRule="auto"/>
      <w:rPr>
        <w:sz w:val="20"/>
      </w:rPr>
    </w:pPr>
    <w:r w:rsidRPr="00EA79F3">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6CE54C2"/>
    <w:multiLevelType w:val="hybridMultilevel"/>
    <w:tmpl w:val="00CAB4B8"/>
    <w:lvl w:ilvl="0" w:tplc="68B8D196">
      <w:start w:val="1"/>
      <w:numFmt w:val="decimal"/>
      <w:lvlText w:val="%1."/>
      <w:lvlJc w:val="left"/>
      <w:pPr>
        <w:ind w:left="720" w:hanging="360"/>
      </w:pPr>
      <w:rPr>
        <w:rFonts w:asciiTheme="majorBidi" w:hAnsiTheme="majorBidi" w:cstheme="majorBid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303F5"/>
    <w:rsid w:val="000642C6"/>
    <w:rsid w:val="00065718"/>
    <w:rsid w:val="000E2911"/>
    <w:rsid w:val="001263DF"/>
    <w:rsid w:val="00176B15"/>
    <w:rsid w:val="002220FB"/>
    <w:rsid w:val="00292ED9"/>
    <w:rsid w:val="00404E5B"/>
    <w:rsid w:val="00414F7B"/>
    <w:rsid w:val="004355DC"/>
    <w:rsid w:val="004749B4"/>
    <w:rsid w:val="00494130"/>
    <w:rsid w:val="004F3523"/>
    <w:rsid w:val="005973B9"/>
    <w:rsid w:val="005B3A56"/>
    <w:rsid w:val="006060CE"/>
    <w:rsid w:val="00630506"/>
    <w:rsid w:val="0063497F"/>
    <w:rsid w:val="006910C5"/>
    <w:rsid w:val="00827B1F"/>
    <w:rsid w:val="00873DF0"/>
    <w:rsid w:val="008756E6"/>
    <w:rsid w:val="009B2D44"/>
    <w:rsid w:val="00A07E82"/>
    <w:rsid w:val="00A72FD1"/>
    <w:rsid w:val="00A9710C"/>
    <w:rsid w:val="00AE3E37"/>
    <w:rsid w:val="00B21A57"/>
    <w:rsid w:val="00C33602"/>
    <w:rsid w:val="00CC00DB"/>
    <w:rsid w:val="00CD6F55"/>
    <w:rsid w:val="00DE3104"/>
    <w:rsid w:val="00E029EB"/>
    <w:rsid w:val="00EA79F3"/>
    <w:rsid w:val="00EC261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Title">
    <w:name w:val="EndNote Bibliography Title"/>
    <w:basedOn w:val="Normal"/>
    <w:link w:val="EndNoteBibliographyTitleChar"/>
    <w:rsid w:val="00EC261D"/>
    <w:pPr>
      <w:widowControl/>
      <w:spacing w:line="276" w:lineRule="auto"/>
      <w:jc w:val="center"/>
    </w:pPr>
    <w:rPr>
      <w:rFonts w:ascii="Calibri" w:eastAsiaTheme="minorEastAsia" w:hAnsi="Calibri" w:cs="Calibri"/>
      <w:noProof/>
    </w:rPr>
  </w:style>
  <w:style w:type="character" w:customStyle="1" w:styleId="EndNoteBibliographyTitleChar">
    <w:name w:val="EndNote Bibliography Title Char"/>
    <w:basedOn w:val="DefaultParagraphFont"/>
    <w:link w:val="EndNoteBibliographyTitle"/>
    <w:rsid w:val="00EC261D"/>
    <w:rPr>
      <w:rFonts w:ascii="Calibri" w:eastAsiaTheme="minorEastAsia" w:hAnsi="Calibri" w:cs="Calibri"/>
      <w:noProof/>
    </w:rPr>
  </w:style>
  <w:style w:type="paragraph" w:customStyle="1" w:styleId="EndNoteBibliography">
    <w:name w:val="EndNote Bibliography"/>
    <w:basedOn w:val="Normal"/>
    <w:link w:val="EndNoteBibliographyChar"/>
    <w:rsid w:val="00EC261D"/>
    <w:pPr>
      <w:widowControl/>
      <w:spacing w:after="200"/>
      <w:jc w:val="both"/>
    </w:pPr>
    <w:rPr>
      <w:rFonts w:ascii="Calibri" w:eastAsiaTheme="minorEastAsia" w:hAnsi="Calibri" w:cs="Calibri"/>
      <w:noProof/>
    </w:rPr>
  </w:style>
  <w:style w:type="character" w:customStyle="1" w:styleId="EndNoteBibliographyChar">
    <w:name w:val="EndNote Bibliography Char"/>
    <w:basedOn w:val="DefaultParagraphFont"/>
    <w:link w:val="EndNoteBibliography"/>
    <w:rsid w:val="00EC261D"/>
    <w:rPr>
      <w:rFonts w:ascii="Calibri" w:eastAsiaTheme="minorEastAsia" w:hAnsi="Calibri" w:cs="Calibri"/>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cp:lastModifiedBy>
  <cp:revision>2</cp:revision>
  <dcterms:created xsi:type="dcterms:W3CDTF">2018-03-21T07:31:00Z</dcterms:created>
  <dcterms:modified xsi:type="dcterms:W3CDTF">2018-03-21T07:31:00Z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