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407" w:rsidRPr="00CB36C6" w:rsidRDefault="00CB36C6" w:rsidP="00172ED1">
      <w:pPr>
        <w:pStyle w:val="Ttulo1"/>
        <w:spacing w:before="170"/>
        <w:ind w:left="0" w:right="200"/>
        <w:jc w:val="both"/>
        <w:rPr>
          <w:color w:val="337AB7"/>
        </w:rPr>
      </w:pPr>
      <w:r>
        <w:rPr>
          <w:color w:val="337AB7"/>
        </w:rPr>
        <w:t xml:space="preserve">Blood Test alterations </w:t>
      </w:r>
      <w:r w:rsidR="00172ED1">
        <w:rPr>
          <w:color w:val="337AB7"/>
        </w:rPr>
        <w:t>in adolescent girls diagnosed with Bulimia Nervosa (BN)</w:t>
      </w:r>
      <w:r>
        <w:rPr>
          <w:color w:val="337AB7"/>
        </w:rPr>
        <w:t>.</w:t>
      </w:r>
    </w:p>
    <w:p w:rsidR="005973B9" w:rsidRPr="00F02102" w:rsidRDefault="000A18AD" w:rsidP="00792282">
      <w:pPr>
        <w:pStyle w:val="Textoindependiente"/>
        <w:spacing w:before="73" w:line="198" w:lineRule="exact"/>
        <w:ind w:right="342"/>
        <w:jc w:val="both"/>
        <w:rPr>
          <w:rFonts w:ascii="Arial"/>
          <w:lang w:val="es-ES"/>
        </w:rPr>
      </w:pPr>
      <w:r w:rsidRPr="00F02102">
        <w:rPr>
          <w:rFonts w:ascii="Arial"/>
          <w:b/>
          <w:lang w:val="es-ES"/>
        </w:rPr>
        <w:t>Gina Llad</w:t>
      </w:r>
      <w:r w:rsidRPr="00F02102">
        <w:rPr>
          <w:rFonts w:ascii="Arial"/>
          <w:b/>
          <w:lang w:val="es-ES"/>
        </w:rPr>
        <w:t>ó</w:t>
      </w:r>
      <w:r w:rsidR="00AE793B" w:rsidRPr="00F02102">
        <w:rPr>
          <w:rFonts w:ascii="Arial"/>
          <w:lang w:val="es-ES"/>
        </w:rPr>
        <w:t>, RN</w:t>
      </w:r>
      <w:r w:rsidR="00312A99">
        <w:rPr>
          <w:rFonts w:ascii="Arial"/>
          <w:lang w:val="es-ES"/>
        </w:rPr>
        <w:t>,</w:t>
      </w:r>
      <w:r w:rsidR="00AE793B" w:rsidRPr="00F02102">
        <w:rPr>
          <w:rFonts w:ascii="Arial"/>
          <w:lang w:val="es-ES"/>
        </w:rPr>
        <w:t xml:space="preserve"> PhD, </w:t>
      </w:r>
      <w:r w:rsidRPr="00F02102">
        <w:rPr>
          <w:rFonts w:ascii="Arial"/>
          <w:i/>
          <w:lang w:val="es-ES"/>
        </w:rPr>
        <w:t>Universidad Isabel I, Burgos. Spain</w:t>
      </w:r>
      <w:r w:rsidR="00F02102" w:rsidRPr="00F02102">
        <w:rPr>
          <w:rFonts w:ascii="Arial"/>
          <w:i/>
          <w:lang w:val="es-ES"/>
        </w:rPr>
        <w:t xml:space="preserve">, </w:t>
      </w:r>
      <w:r w:rsidR="00F02102" w:rsidRPr="00F02102">
        <w:rPr>
          <w:rFonts w:ascii="Arial"/>
          <w:b/>
          <w:lang w:val="es-ES"/>
        </w:rPr>
        <w:t>Montserrat Graell</w:t>
      </w:r>
      <w:r w:rsidR="00F02102" w:rsidRPr="00F02102">
        <w:rPr>
          <w:rFonts w:ascii="Arial"/>
          <w:lang w:val="es-ES"/>
        </w:rPr>
        <w:t xml:space="preserve">, MD, PhD, </w:t>
      </w:r>
      <w:r w:rsidR="00F02102" w:rsidRPr="00F02102">
        <w:rPr>
          <w:rFonts w:ascii="Arial"/>
          <w:i/>
          <w:lang w:val="es-ES"/>
        </w:rPr>
        <w:t>Hospital infantil Universitario Ni</w:t>
      </w:r>
      <w:r w:rsidR="00F02102" w:rsidRPr="00F02102">
        <w:rPr>
          <w:rFonts w:ascii="Arial"/>
          <w:i/>
          <w:lang w:val="es-ES"/>
        </w:rPr>
        <w:t>ñ</w:t>
      </w:r>
      <w:r w:rsidR="00F02102" w:rsidRPr="00F02102">
        <w:rPr>
          <w:rFonts w:ascii="Arial"/>
          <w:i/>
          <w:lang w:val="es-ES"/>
        </w:rPr>
        <w:t>o Jes</w:t>
      </w:r>
      <w:r w:rsidR="00F02102" w:rsidRPr="00F02102">
        <w:rPr>
          <w:rFonts w:ascii="Arial"/>
          <w:i/>
          <w:lang w:val="es-ES"/>
        </w:rPr>
        <w:t>ú</w:t>
      </w:r>
      <w:r w:rsidR="00F02102" w:rsidRPr="00F02102">
        <w:rPr>
          <w:rFonts w:ascii="Arial"/>
          <w:i/>
          <w:lang w:val="es-ES"/>
        </w:rPr>
        <w:t>s de Madrid</w:t>
      </w:r>
      <w:r w:rsidR="00F02102" w:rsidRPr="00F02102">
        <w:rPr>
          <w:rFonts w:ascii="Arial"/>
          <w:lang w:val="es-ES"/>
        </w:rPr>
        <w:t xml:space="preserve">, </w:t>
      </w:r>
      <w:r w:rsidR="00F02102" w:rsidRPr="00F02102">
        <w:rPr>
          <w:rFonts w:ascii="Arial"/>
          <w:b/>
          <w:lang w:val="es-ES"/>
        </w:rPr>
        <w:t>Mar</w:t>
      </w:r>
      <w:r w:rsidR="00F02102" w:rsidRPr="00F02102">
        <w:rPr>
          <w:rFonts w:ascii="Arial"/>
          <w:b/>
          <w:lang w:val="es-ES"/>
        </w:rPr>
        <w:t>í</w:t>
      </w:r>
      <w:r w:rsidR="00F02102" w:rsidRPr="00F02102">
        <w:rPr>
          <w:rFonts w:ascii="Arial"/>
          <w:b/>
          <w:lang w:val="es-ES"/>
        </w:rPr>
        <w:t>a Jos</w:t>
      </w:r>
      <w:r w:rsidR="00F02102" w:rsidRPr="00F02102">
        <w:rPr>
          <w:rFonts w:ascii="Arial"/>
          <w:b/>
          <w:lang w:val="es-ES"/>
        </w:rPr>
        <w:t>é</w:t>
      </w:r>
      <w:r w:rsidR="00F02102" w:rsidRPr="00F02102">
        <w:rPr>
          <w:rFonts w:ascii="Arial"/>
          <w:b/>
          <w:lang w:val="es-ES"/>
        </w:rPr>
        <w:t xml:space="preserve"> Blanco</w:t>
      </w:r>
      <w:r w:rsidR="00F02102" w:rsidRPr="00F02102">
        <w:rPr>
          <w:rFonts w:ascii="Arial"/>
          <w:lang w:val="es-ES"/>
        </w:rPr>
        <w:t xml:space="preserve">, PhD, </w:t>
      </w:r>
      <w:r w:rsidR="00F02102" w:rsidRPr="00F02102">
        <w:rPr>
          <w:rFonts w:ascii="Arial"/>
          <w:i/>
          <w:lang w:val="es-ES"/>
        </w:rPr>
        <w:t>Universidad Europea de Madrid</w:t>
      </w:r>
    </w:p>
    <w:p w:rsidR="00AE3E37" w:rsidRPr="00F02102" w:rsidRDefault="00AE3E37" w:rsidP="00F02102">
      <w:pPr>
        <w:pStyle w:val="Textoindependiente"/>
        <w:jc w:val="both"/>
        <w:rPr>
          <w:rFonts w:ascii="Arial"/>
          <w:sz w:val="20"/>
          <w:lang w:val="es-ES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A18AD">
      <w:pPr>
        <w:pStyle w:val="Ttulo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502D2" w:rsidRPr="002D70F9" w:rsidRDefault="005502D2" w:rsidP="005502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rFonts w:cstheme="minorHAnsi"/>
          <w:color w:val="222222"/>
          <w:sz w:val="18"/>
          <w:szCs w:val="18"/>
        </w:rPr>
      </w:pPr>
      <w:r w:rsidRPr="002D70F9">
        <w:rPr>
          <w:rFonts w:cstheme="minorHAnsi"/>
          <w:b/>
          <w:color w:val="222222"/>
          <w:sz w:val="18"/>
          <w:szCs w:val="18"/>
        </w:rPr>
        <w:t>Introduction.</w:t>
      </w:r>
      <w:r w:rsidRPr="002D70F9">
        <w:rPr>
          <w:rFonts w:cstheme="minorHAnsi"/>
          <w:color w:val="222222"/>
          <w:sz w:val="18"/>
          <w:szCs w:val="18"/>
        </w:rPr>
        <w:t xml:space="preserve"> </w:t>
      </w:r>
      <w:r w:rsidRPr="00843AA0">
        <w:rPr>
          <w:rFonts w:eastAsia="Times New Roman" w:cstheme="minorHAnsi"/>
          <w:color w:val="212121"/>
          <w:sz w:val="18"/>
          <w:szCs w:val="18"/>
          <w:bdr w:val="none" w:sz="0" w:space="0" w:color="auto" w:frame="1"/>
          <w:lang w:val="en" w:eastAsia="es-ES"/>
        </w:rPr>
        <w:t>Bulimia Nervosa (BN) remains characteristic of the female adolescent population. This disorder translates into multisystemic complications that interfere in ph</w:t>
      </w:r>
      <w:r w:rsidRPr="002D70F9">
        <w:rPr>
          <w:rFonts w:eastAsia="Times New Roman" w:cstheme="minorHAnsi"/>
          <w:color w:val="212121"/>
          <w:sz w:val="18"/>
          <w:szCs w:val="18"/>
          <w:bdr w:val="none" w:sz="0" w:space="0" w:color="auto" w:frame="1"/>
          <w:lang w:val="en" w:eastAsia="es-ES"/>
        </w:rPr>
        <w:t>ysical and mental development</w:t>
      </w:r>
      <w:r w:rsidR="00320E9D">
        <w:rPr>
          <w:rFonts w:eastAsia="Times New Roman" w:cstheme="minorHAnsi"/>
          <w:color w:val="212121"/>
          <w:sz w:val="18"/>
          <w:szCs w:val="18"/>
          <w:bdr w:val="none" w:sz="0" w:space="0" w:color="auto" w:frame="1"/>
          <w:lang w:val="en" w:eastAsia="es-ES"/>
        </w:rPr>
        <w:t xml:space="preserve"> of the patients</w:t>
      </w:r>
      <w:r w:rsidRPr="002D70F9">
        <w:rPr>
          <w:rFonts w:eastAsia="Times New Roman" w:cstheme="minorHAnsi"/>
          <w:color w:val="212121"/>
          <w:sz w:val="18"/>
          <w:szCs w:val="18"/>
          <w:bdr w:val="none" w:sz="0" w:space="0" w:color="auto" w:frame="1"/>
          <w:lang w:val="en" w:eastAsia="es-ES"/>
        </w:rPr>
        <w:t xml:space="preserve">. </w:t>
      </w:r>
      <w:r w:rsidRPr="002D70F9">
        <w:rPr>
          <w:rFonts w:cstheme="minorHAnsi"/>
          <w:color w:val="222222"/>
          <w:sz w:val="18"/>
          <w:szCs w:val="18"/>
        </w:rPr>
        <w:t xml:space="preserve">The present </w:t>
      </w:r>
      <w:r w:rsidR="00320E9D">
        <w:rPr>
          <w:rFonts w:cstheme="minorHAnsi"/>
          <w:color w:val="222222"/>
          <w:sz w:val="18"/>
          <w:szCs w:val="18"/>
        </w:rPr>
        <w:t>poster</w:t>
      </w:r>
      <w:r w:rsidRPr="002D70F9">
        <w:rPr>
          <w:rFonts w:cstheme="minorHAnsi"/>
          <w:color w:val="222222"/>
          <w:sz w:val="18"/>
          <w:szCs w:val="18"/>
        </w:rPr>
        <w:t xml:space="preserve"> is part of a larger study conducted with children and adolescents of both genders and diagnosed with different Eating Disorders (ED), study which revealed a clear predominance of female gender and adolescent age in the diagnosis of BN. </w:t>
      </w:r>
    </w:p>
    <w:p w:rsidR="005502D2" w:rsidRDefault="005502D2" w:rsidP="005502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rFonts w:cstheme="minorHAnsi"/>
          <w:color w:val="222222"/>
          <w:sz w:val="18"/>
          <w:szCs w:val="18"/>
        </w:rPr>
      </w:pPr>
      <w:r w:rsidRPr="002D70F9">
        <w:rPr>
          <w:rFonts w:cstheme="minorHAnsi"/>
          <w:b/>
          <w:bCs/>
          <w:color w:val="222222"/>
          <w:sz w:val="18"/>
          <w:szCs w:val="18"/>
        </w:rPr>
        <w:t>Objective</w:t>
      </w:r>
      <w:r w:rsidRPr="002D70F9">
        <w:rPr>
          <w:rFonts w:cstheme="minorHAnsi"/>
          <w:b/>
          <w:color w:val="222222"/>
          <w:sz w:val="18"/>
          <w:szCs w:val="18"/>
        </w:rPr>
        <w:t xml:space="preserve">. </w:t>
      </w:r>
      <w:r w:rsidR="009E79D3">
        <w:rPr>
          <w:rFonts w:cstheme="minorHAnsi"/>
          <w:color w:val="222222"/>
          <w:sz w:val="18"/>
          <w:szCs w:val="18"/>
        </w:rPr>
        <w:t>To evaluate the blood test</w:t>
      </w:r>
      <w:r w:rsidRPr="002D70F9">
        <w:rPr>
          <w:rFonts w:cstheme="minorHAnsi"/>
          <w:color w:val="222222"/>
          <w:sz w:val="18"/>
          <w:szCs w:val="18"/>
        </w:rPr>
        <w:t xml:space="preserve"> parameters that present alterations in relation to the diagnosis of BN in adolescent girls.</w:t>
      </w:r>
    </w:p>
    <w:p w:rsidR="005502D2" w:rsidRPr="002D70F9" w:rsidRDefault="005502D2" w:rsidP="005502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rFonts w:cstheme="minorHAnsi"/>
          <w:color w:val="222222"/>
          <w:sz w:val="18"/>
          <w:szCs w:val="18"/>
        </w:rPr>
      </w:pPr>
      <w:r w:rsidRPr="002D70F9">
        <w:rPr>
          <w:rFonts w:cstheme="minorHAnsi"/>
          <w:b/>
          <w:color w:val="222222"/>
          <w:sz w:val="18"/>
          <w:szCs w:val="18"/>
        </w:rPr>
        <w:t>Methods</w:t>
      </w:r>
      <w:r w:rsidRPr="002D70F9">
        <w:rPr>
          <w:rFonts w:cstheme="minorHAnsi"/>
          <w:color w:val="222222"/>
          <w:sz w:val="18"/>
          <w:szCs w:val="18"/>
        </w:rPr>
        <w:t>.  Initial sample of 542 patients, of both genders, aged between 5 and 18 years, attended at “</w:t>
      </w:r>
      <w:r w:rsidRPr="002D70F9">
        <w:rPr>
          <w:rFonts w:cstheme="minorHAnsi"/>
          <w:i/>
          <w:iCs/>
          <w:color w:val="222222"/>
          <w:sz w:val="18"/>
          <w:szCs w:val="18"/>
        </w:rPr>
        <w:t>Hospital Infantil Universitario Niño Jesús</w:t>
      </w:r>
      <w:r w:rsidRPr="002D70F9">
        <w:rPr>
          <w:rFonts w:cstheme="minorHAnsi"/>
          <w:color w:val="222222"/>
          <w:sz w:val="18"/>
          <w:szCs w:val="18"/>
        </w:rPr>
        <w:t>” of Madrid betwee</w:t>
      </w:r>
      <w:r w:rsidR="009E79D3">
        <w:rPr>
          <w:rFonts w:cstheme="minorHAnsi"/>
          <w:color w:val="222222"/>
          <w:sz w:val="18"/>
          <w:szCs w:val="18"/>
        </w:rPr>
        <w:t xml:space="preserve">n 2013 and 2016.  A clear predominance of the female gender </w:t>
      </w:r>
      <w:r w:rsidR="009E79D3" w:rsidRPr="002D70F9">
        <w:rPr>
          <w:rFonts w:cstheme="minorHAnsi"/>
          <w:color w:val="222222"/>
          <w:sz w:val="18"/>
          <w:szCs w:val="18"/>
        </w:rPr>
        <w:t>and adolescent age</w:t>
      </w:r>
      <w:r w:rsidR="009E79D3">
        <w:rPr>
          <w:rFonts w:cstheme="minorHAnsi"/>
          <w:color w:val="222222"/>
          <w:sz w:val="18"/>
          <w:szCs w:val="18"/>
        </w:rPr>
        <w:t xml:space="preserve"> was </w:t>
      </w:r>
      <w:r w:rsidRPr="002D70F9">
        <w:rPr>
          <w:rFonts w:cstheme="minorHAnsi"/>
          <w:color w:val="222222"/>
          <w:sz w:val="18"/>
          <w:szCs w:val="18"/>
        </w:rPr>
        <w:t xml:space="preserve">revealed. For this reason </w:t>
      </w:r>
      <w:r w:rsidR="007C2FBF" w:rsidRPr="002D70F9">
        <w:rPr>
          <w:rFonts w:cstheme="minorHAnsi"/>
          <w:b/>
          <w:bCs/>
          <w:color w:val="222222"/>
          <w:sz w:val="18"/>
          <w:szCs w:val="18"/>
        </w:rPr>
        <w:t>59 patients of adolescent age (12-18 years) and female gender</w:t>
      </w:r>
      <w:r w:rsidR="007C2FBF" w:rsidRPr="002D70F9">
        <w:rPr>
          <w:rFonts w:cstheme="minorHAnsi"/>
          <w:color w:val="222222"/>
          <w:sz w:val="18"/>
          <w:szCs w:val="18"/>
        </w:rPr>
        <w:t xml:space="preserve"> </w:t>
      </w:r>
      <w:r w:rsidRPr="002D70F9">
        <w:rPr>
          <w:rFonts w:cstheme="minorHAnsi"/>
          <w:color w:val="222222"/>
          <w:sz w:val="18"/>
          <w:szCs w:val="18"/>
        </w:rPr>
        <w:t>wer</w:t>
      </w:r>
      <w:r w:rsidR="009E79D3">
        <w:rPr>
          <w:rFonts w:cstheme="minorHAnsi"/>
          <w:color w:val="222222"/>
          <w:sz w:val="18"/>
          <w:szCs w:val="18"/>
        </w:rPr>
        <w:t>e selected for the present poster</w:t>
      </w:r>
      <w:r w:rsidRPr="002D70F9">
        <w:rPr>
          <w:rFonts w:cstheme="minorHAnsi"/>
          <w:color w:val="222222"/>
          <w:sz w:val="18"/>
          <w:szCs w:val="18"/>
        </w:rPr>
        <w:t>. T</w:t>
      </w:r>
      <w:r w:rsidR="00D70E05">
        <w:rPr>
          <w:rFonts w:cstheme="minorHAnsi"/>
          <w:color w:val="222222"/>
          <w:sz w:val="18"/>
          <w:szCs w:val="18"/>
        </w:rPr>
        <w:t>he blood tests were analyzed</w:t>
      </w:r>
      <w:r w:rsidRPr="002D70F9">
        <w:rPr>
          <w:rFonts w:cstheme="minorHAnsi"/>
          <w:color w:val="222222"/>
          <w:sz w:val="18"/>
          <w:szCs w:val="18"/>
        </w:rPr>
        <w:t xml:space="preserve">. The blood was extracted by peripheral venous venipuncture. The blood tests were performed at the first visit due to suspicion of BN. </w:t>
      </w:r>
    </w:p>
    <w:p w:rsidR="005502D2" w:rsidRPr="002D70F9" w:rsidRDefault="005502D2" w:rsidP="005502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rFonts w:cstheme="minorHAnsi"/>
          <w:color w:val="222222"/>
          <w:sz w:val="18"/>
          <w:szCs w:val="18"/>
        </w:rPr>
      </w:pPr>
      <w:r w:rsidRPr="002D70F9">
        <w:rPr>
          <w:rFonts w:cstheme="minorHAnsi"/>
          <w:b/>
          <w:bCs/>
          <w:color w:val="222222"/>
          <w:sz w:val="18"/>
          <w:szCs w:val="18"/>
        </w:rPr>
        <w:t>Statistical analysis</w:t>
      </w:r>
      <w:r w:rsidRPr="002D70F9">
        <w:rPr>
          <w:rFonts w:cstheme="minorHAnsi"/>
          <w:color w:val="222222"/>
          <w:sz w:val="18"/>
          <w:szCs w:val="18"/>
        </w:rPr>
        <w:t xml:space="preserve">: The relationship between the analytical alterations and the diagnosis of BN was assessed by contingency tables and Fisher's exact test. Significant differences for values </w:t>
      </w:r>
      <w:r w:rsidRPr="002D70F9">
        <w:rPr>
          <w:rFonts w:ascii="Arial" w:hAnsi="Arial" w:cs="Arial"/>
          <w:color w:val="222222"/>
          <w:sz w:val="18"/>
          <w:szCs w:val="18"/>
        </w:rPr>
        <w:t>​​</w:t>
      </w:r>
      <w:r w:rsidRPr="002D70F9">
        <w:rPr>
          <w:rFonts w:cstheme="minorHAnsi"/>
          <w:color w:val="222222"/>
          <w:sz w:val="18"/>
          <w:szCs w:val="18"/>
        </w:rPr>
        <w:t xml:space="preserve">of p &lt;0.05. Statistical package used: SPSS version 23. We studied </w:t>
      </w:r>
      <w:r w:rsidRPr="002D70F9">
        <w:rPr>
          <w:rFonts w:cstheme="minorHAnsi"/>
          <w:b/>
          <w:bCs/>
          <w:color w:val="222222"/>
          <w:sz w:val="18"/>
          <w:szCs w:val="18"/>
        </w:rPr>
        <w:t>73 blood test variables</w:t>
      </w:r>
      <w:r w:rsidRPr="002D70F9">
        <w:rPr>
          <w:rFonts w:cstheme="minorHAnsi"/>
          <w:color w:val="222222"/>
          <w:sz w:val="18"/>
          <w:szCs w:val="18"/>
        </w:rPr>
        <w:t xml:space="preserve">: complete hemogram, vitamins, hormones, immunology and general serum biochemistry in relation to the diagnosis of Bulimia Nervosa. </w:t>
      </w:r>
    </w:p>
    <w:p w:rsidR="005502D2" w:rsidRPr="002D70F9" w:rsidRDefault="005502D2" w:rsidP="005502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rFonts w:cstheme="minorHAnsi"/>
          <w:color w:val="222222"/>
          <w:sz w:val="18"/>
          <w:szCs w:val="18"/>
        </w:rPr>
      </w:pPr>
      <w:r w:rsidRPr="002D70F9">
        <w:rPr>
          <w:rFonts w:cstheme="minorHAnsi"/>
          <w:b/>
          <w:color w:val="222222"/>
          <w:sz w:val="18"/>
          <w:szCs w:val="18"/>
        </w:rPr>
        <w:t>Results.</w:t>
      </w:r>
      <w:r w:rsidRPr="002D70F9">
        <w:rPr>
          <w:rFonts w:cstheme="minorHAnsi"/>
          <w:color w:val="222222"/>
          <w:sz w:val="18"/>
          <w:szCs w:val="18"/>
        </w:rPr>
        <w:t xml:space="preserve"> </w:t>
      </w:r>
      <w:r w:rsidRPr="002D70F9">
        <w:rPr>
          <w:rFonts w:eastAsiaTheme="minorHAnsi" w:cstheme="minorHAnsi"/>
          <w:color w:val="222222"/>
          <w:sz w:val="18"/>
          <w:szCs w:val="18"/>
        </w:rPr>
        <w:t xml:space="preserve">The variables </w:t>
      </w:r>
      <w:r w:rsidR="00D70E05">
        <w:rPr>
          <w:rFonts w:eastAsiaTheme="minorHAnsi" w:cstheme="minorHAnsi"/>
          <w:bCs/>
          <w:color w:val="222222"/>
          <w:sz w:val="18"/>
          <w:szCs w:val="18"/>
        </w:rPr>
        <w:t>with significant differences</w:t>
      </w:r>
      <w:r w:rsidRPr="002D70F9">
        <w:rPr>
          <w:rFonts w:eastAsiaTheme="minorHAnsi" w:cstheme="minorHAnsi"/>
          <w:bCs/>
          <w:color w:val="222222"/>
          <w:sz w:val="18"/>
          <w:szCs w:val="18"/>
        </w:rPr>
        <w:t xml:space="preserve"> </w:t>
      </w:r>
      <w:r w:rsidRPr="002D70F9">
        <w:rPr>
          <w:rFonts w:eastAsiaTheme="minorHAnsi" w:cstheme="minorHAnsi"/>
          <w:color w:val="222222"/>
          <w:sz w:val="18"/>
          <w:szCs w:val="18"/>
        </w:rPr>
        <w:t>in patients with BN are: 2</w:t>
      </w:r>
      <w:r w:rsidRPr="002D70F9">
        <w:rPr>
          <w:rFonts w:cstheme="minorHAnsi"/>
          <w:color w:val="222222"/>
          <w:sz w:val="18"/>
          <w:szCs w:val="18"/>
        </w:rPr>
        <w:t>5-OH vita</w:t>
      </w:r>
      <w:r w:rsidR="00D70E05">
        <w:rPr>
          <w:rFonts w:cstheme="minorHAnsi"/>
          <w:color w:val="222222"/>
          <w:sz w:val="18"/>
          <w:szCs w:val="18"/>
        </w:rPr>
        <w:t xml:space="preserve">min D, Prolactin, Testosterone and </w:t>
      </w:r>
      <w:r w:rsidRPr="002D70F9">
        <w:rPr>
          <w:rFonts w:cstheme="minorHAnsi"/>
          <w:color w:val="222222"/>
          <w:sz w:val="18"/>
          <w:szCs w:val="18"/>
        </w:rPr>
        <w:t>Insulin Resistance.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340A9B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217805</wp:posOffset>
            </wp:positionH>
            <wp:positionV relativeFrom="paragraph">
              <wp:posOffset>125095</wp:posOffset>
            </wp:positionV>
            <wp:extent cx="2933065" cy="1219200"/>
            <wp:effectExtent l="0" t="0" r="63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386" w:rsidRDefault="002A438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2A4386" w:rsidRPr="002A4386" w:rsidRDefault="002A4386" w:rsidP="005973B9">
      <w:pPr>
        <w:spacing w:line="204" w:lineRule="exact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      Figure 1: Blood Test</w:t>
      </w:r>
      <w:r w:rsidRPr="002A4386">
        <w:rPr>
          <w:rFonts w:asciiTheme="minorHAnsi" w:hAnsiTheme="minorHAnsi" w:cstheme="minorHAnsi"/>
          <w:sz w:val="18"/>
        </w:rPr>
        <w:t xml:space="preserve"> significant alterations in Bulimia Nervosa (BN)</w:t>
      </w: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3826D4">
        <w:rPr>
          <w:rFonts w:ascii="Arial"/>
          <w:b/>
          <w:color w:val="BF5A14"/>
          <w:sz w:val="20"/>
        </w:rPr>
        <w:t xml:space="preserve">  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2D43E6" w:rsidRDefault="002D43E6" w:rsidP="005973B9">
      <w:pPr>
        <w:spacing w:line="204" w:lineRule="exact"/>
        <w:rPr>
          <w:rFonts w:ascii="Arial"/>
          <w:b/>
          <w:sz w:val="20"/>
        </w:rPr>
      </w:pP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es-ES"/>
        </w:rPr>
        <w:t>Dueñas Disotuar, Y., Murray  Hurtado, M.,  Rubio Morell, B., Murjani Bharwani,  H. y Jiménez Sosa, A. (2015). Eating Disorders in pediatric age: A boom pathology. Nutricion Hospitalaria, 32(5), 2091-2097.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es-ES"/>
        </w:rPr>
        <w:t>Ruiz-Lázaro, P. M., Comet, M. P., Calvo, A. I., Zapata, M., Cebollada, M., Trébol, L. y Lobo, A. (2010). Prevalence of eating disorders in early adolescent students. Actas Espanolas De Psiquiatria, 38(4), 204-211.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</w:rPr>
        <w:t>Rava, M. F. y Silber, T. J.  (2004). Bulimia nerviosa (Parte 1). Historia. definición,  epidemiología, cuadro clínico y complicacions. Archivos Generales de Pediatria, 102(5), 353-363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</w:rPr>
        <w:t>Byatt,   J. C.,  Staten,  N.  R.,  Salsgiver,  W. J.,  Kostelc, J. G.  y Collier, R. J. (1993).  Stimulation of Food Intake and Weight Gain in Mature Female Rats by Bovine Prolactin and Bovine Growth Hormone. The American Journal of Physiology, 264(6), 986-992.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pt-BR"/>
        </w:rPr>
        <w:t xml:space="preserve">Pinheiro.  V.,   Carolina,  A.,   Canaan,  F.  A.   y  De  Cássia  Gonçalves, A. (2008). </w:t>
      </w:r>
      <w:r w:rsidR="003826D4">
        <w:rPr>
          <w:rFonts w:ascii="Calibri" w:eastAsia="Calibri" w:hAnsi="Calibri" w:cs="Calibri"/>
          <w:sz w:val="16"/>
          <w:lang w:val="pt-BR"/>
        </w:rPr>
        <w:t xml:space="preserve"> Insulinemi</w:t>
      </w:r>
      <w:r w:rsidRPr="00DE71F7">
        <w:rPr>
          <w:rFonts w:ascii="Calibri" w:eastAsia="Calibri" w:hAnsi="Calibri" w:cs="Calibri"/>
          <w:sz w:val="16"/>
          <w:lang w:val="pt-BR"/>
        </w:rPr>
        <w:t>a, ingesta alimentaria y metabolismo energético.  Revista Chilena de Nutrición, 35(1), 18-24.</w:t>
      </w:r>
      <w:r w:rsidRPr="00DE71F7">
        <w:rPr>
          <w:rFonts w:ascii="Calibri" w:eastAsia="Calibri" w:hAnsi="Calibri" w:cs="Calibri"/>
          <w:sz w:val="16"/>
          <w:lang w:val="es-ES"/>
        </w:rPr>
        <w:t xml:space="preserve"> 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es-ES"/>
        </w:rPr>
        <w:t>Pauporte, J., y Walsh, B. T. (2001). Serum  Cholesterol  in Bulimia  Nervosa. The  International Journal of Eating Disorders, 30(3), 294-298.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es-ES"/>
        </w:rPr>
        <w:t>Escalante Boleas, M., Franco Vicario, R.,  Bustamante Murga,  V. y  Miguel de la  Villa, F. (2002). Metabolismo óseo y pérdida de masa ósea en los trastornos de la alimentación.  Anales de Medicina Interna, 19(3), 53-60</w:t>
      </w:r>
    </w:p>
    <w:p w:rsidR="00664B5B" w:rsidRPr="00DE71F7" w:rsidRDefault="00F902B6" w:rsidP="00DE71F7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rFonts w:ascii="Calibri" w:eastAsia="Calibri" w:hAnsi="Calibri" w:cs="Calibri"/>
          <w:sz w:val="16"/>
          <w:lang w:val="es-ES"/>
        </w:rPr>
      </w:pPr>
      <w:r w:rsidRPr="00DE71F7">
        <w:rPr>
          <w:rFonts w:ascii="Calibri" w:eastAsia="Calibri" w:hAnsi="Calibri" w:cs="Calibri"/>
          <w:sz w:val="16"/>
          <w:lang w:val="es-ES"/>
        </w:rPr>
        <w:t>Boulanger, H., Saksi,  A.,  Chhuy, F. y Flamant,  M.  (2014).  Hipocalcemia. EMC -  Tratado de Medicina, 18(2), 1-7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C50523">
      <w:pPr>
        <w:pStyle w:val="Textoindependiente"/>
        <w:rPr>
          <w:rFonts w:ascii="Calibri"/>
          <w:sz w:val="20"/>
        </w:rPr>
      </w:pPr>
      <w:r>
        <w:rPr>
          <w:noProof/>
          <w:lang w:val="es-ES" w:eastAsia="es-ES"/>
        </w:rPr>
        <w:drawing>
          <wp:anchor distT="0" distB="0" distL="114935" distR="114935" simplePos="0" relativeHeight="251660288" behindDoc="0" locked="0" layoutInCell="1" allowOverlap="1" wp14:anchorId="630FF979" wp14:editId="76E278A9">
            <wp:simplePos x="0" y="0"/>
            <wp:positionH relativeFrom="column">
              <wp:posOffset>509905</wp:posOffset>
            </wp:positionH>
            <wp:positionV relativeFrom="paragraph">
              <wp:posOffset>68580</wp:posOffset>
            </wp:positionV>
            <wp:extent cx="509905" cy="690880"/>
            <wp:effectExtent l="0" t="0" r="444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90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118FD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5052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C50523" w:rsidRDefault="00C50523" w:rsidP="00404E5B">
      <w:pPr>
        <w:spacing w:before="92"/>
        <w:ind w:right="4234"/>
        <w:rPr>
          <w:noProof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Pr="001D68BD" w:rsidRDefault="001D68BD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1D68BD">
        <w:rPr>
          <w:rFonts w:ascii="Arial" w:hAnsi="Arial" w:cs="Arial"/>
          <w:sz w:val="14"/>
          <w:szCs w:val="14"/>
        </w:rPr>
        <w:t xml:space="preserve">Gina Lladó Jordan has completed his PhD at the age of 27 years in </w:t>
      </w:r>
      <w:r w:rsidRPr="001D68BD">
        <w:rPr>
          <w:rFonts w:ascii="Arial" w:hAnsi="Arial" w:cs="Arial"/>
          <w:i/>
          <w:sz w:val="14"/>
          <w:szCs w:val="14"/>
        </w:rPr>
        <w:t>Universidad Europea de Madrid, Spain</w:t>
      </w:r>
      <w:r w:rsidRPr="001D68BD">
        <w:rPr>
          <w:rFonts w:ascii="Arial" w:hAnsi="Arial" w:cs="Arial"/>
          <w:sz w:val="14"/>
          <w:szCs w:val="14"/>
        </w:rPr>
        <w:t xml:space="preserve">. She works as an investigator and teacher in </w:t>
      </w:r>
      <w:r w:rsidRPr="001D68BD">
        <w:rPr>
          <w:rFonts w:ascii="Arial" w:hAnsi="Arial" w:cs="Arial"/>
          <w:i/>
          <w:sz w:val="14"/>
          <w:szCs w:val="14"/>
        </w:rPr>
        <w:t xml:space="preserve">Universidad Isabel I, Burgos, Spain. </w:t>
      </w:r>
      <w:r>
        <w:rPr>
          <w:rFonts w:ascii="Arial" w:hAnsi="Arial" w:cs="Arial"/>
          <w:color w:val="212121"/>
          <w:sz w:val="14"/>
          <w:szCs w:val="14"/>
        </w:rPr>
        <w:t xml:space="preserve">She </w:t>
      </w:r>
      <w:r w:rsidRPr="001D68BD">
        <w:rPr>
          <w:rFonts w:ascii="Arial" w:hAnsi="Arial" w:cs="Arial"/>
          <w:color w:val="212121"/>
          <w:sz w:val="14"/>
          <w:szCs w:val="14"/>
        </w:rPr>
        <w:t>has completed 5 masters related to various aspects of health sciences</w:t>
      </w:r>
      <w:r>
        <w:rPr>
          <w:rFonts w:ascii="Arial" w:hAnsi="Arial" w:cs="Arial"/>
          <w:color w:val="212121"/>
          <w:sz w:val="14"/>
          <w:szCs w:val="14"/>
        </w:rPr>
        <w:t>. She</w:t>
      </w:r>
      <w:r w:rsidR="00EC3579">
        <w:rPr>
          <w:rFonts w:ascii="Arial" w:hAnsi="Arial" w:cs="Arial"/>
          <w:color w:val="212121"/>
          <w:sz w:val="14"/>
          <w:szCs w:val="14"/>
        </w:rPr>
        <w:t xml:space="preserve"> has directed 20 Final Degree Projects</w:t>
      </w:r>
      <w:r w:rsidRPr="001D68BD">
        <w:rPr>
          <w:rFonts w:ascii="Arial" w:hAnsi="Arial" w:cs="Arial"/>
          <w:color w:val="212121"/>
          <w:sz w:val="14"/>
          <w:szCs w:val="14"/>
        </w:rPr>
        <w:t xml:space="preserve"> and participated in multiple studies and research groups. </w:t>
      </w:r>
      <w:r>
        <w:rPr>
          <w:rFonts w:ascii="Arial" w:hAnsi="Arial" w:cs="Arial"/>
          <w:color w:val="212121"/>
          <w:sz w:val="14"/>
          <w:szCs w:val="14"/>
        </w:rPr>
        <w:t>Her</w:t>
      </w:r>
      <w:r w:rsidRPr="001D68BD">
        <w:rPr>
          <w:rFonts w:ascii="Arial" w:hAnsi="Arial" w:cs="Arial"/>
          <w:color w:val="212121"/>
          <w:sz w:val="14"/>
          <w:szCs w:val="14"/>
        </w:rPr>
        <w:t xml:space="preserve"> main line of research is Eating Disorders and Nutrition.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D68BD" w:rsidRPr="00982BED">
          <w:rPr>
            <w:rStyle w:val="Hipervnculo"/>
            <w:rFonts w:ascii="Arial"/>
            <w:sz w:val="14"/>
          </w:rPr>
          <w:t>ginalladojordan@gmail.com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05BA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6405E" w:rsidRDefault="0026405E" w:rsidP="0026405E">
      <w:pPr>
        <w:spacing w:before="39"/>
        <w:ind w:left="100"/>
        <w:rPr>
          <w:rFonts w:ascii="Minion Pro"/>
          <w:b/>
          <w:sz w:val="20"/>
        </w:rPr>
        <w:sectPr w:rsidR="00AE3E37" w:rsidRPr="002640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  <w:r>
        <w:rPr>
          <w:rFonts w:ascii="Minion Pro"/>
          <w:b/>
          <w:sz w:val="20"/>
        </w:rPr>
        <w:t>Notes/Comments:</w:t>
      </w: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C48" w:rsidRDefault="00A04C48">
      <w:r>
        <w:separator/>
      </w:r>
    </w:p>
  </w:endnote>
  <w:endnote w:type="continuationSeparator" w:id="0">
    <w:p w:rsidR="00A04C48" w:rsidRDefault="00A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5C3024" w:rsidRDefault="00AE3E37">
    <w:pPr>
      <w:pStyle w:val="Textoindependiente"/>
      <w:spacing w:line="14" w:lineRule="auto"/>
      <w:rPr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C48" w:rsidRDefault="00A04C48">
      <w:r>
        <w:separator/>
      </w:r>
    </w:p>
  </w:footnote>
  <w:footnote w:type="continuationSeparator" w:id="0">
    <w:p w:rsidR="00A04C48" w:rsidRDefault="00A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5C3024" w:rsidRDefault="00292ED9">
    <w:pPr>
      <w:pStyle w:val="Textoindependiente"/>
      <w:spacing w:line="14" w:lineRule="auto"/>
      <w:rPr>
        <w:lang w:val="es-ES" w:eastAsia="es-ES"/>
      </w:rPr>
    </w:pPr>
    <w:r w:rsidRPr="005C3024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F6"/>
    <w:multiLevelType w:val="hybridMultilevel"/>
    <w:tmpl w:val="99723BC6"/>
    <w:lvl w:ilvl="0" w:tplc="8354A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ACA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6A26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1AB9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08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8479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862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8CA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8470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61BCE"/>
    <w:multiLevelType w:val="hybridMultilevel"/>
    <w:tmpl w:val="B81C8CDC"/>
    <w:lvl w:ilvl="0" w:tplc="649E8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B087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589C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504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E49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0E04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8C2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C0BB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168A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US" w:vendorID="64" w:dllVersion="131078" w:nlCheck="1" w:checkStyle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628E"/>
    <w:rsid w:val="000A18AD"/>
    <w:rsid w:val="000E2911"/>
    <w:rsid w:val="000E29FD"/>
    <w:rsid w:val="001263DF"/>
    <w:rsid w:val="0017012B"/>
    <w:rsid w:val="00172ED1"/>
    <w:rsid w:val="00191407"/>
    <w:rsid w:val="001B49F5"/>
    <w:rsid w:val="001D68BD"/>
    <w:rsid w:val="0026405E"/>
    <w:rsid w:val="00292ED9"/>
    <w:rsid w:val="002A4386"/>
    <w:rsid w:val="002D43E6"/>
    <w:rsid w:val="002D70F9"/>
    <w:rsid w:val="00312A99"/>
    <w:rsid w:val="00320E9D"/>
    <w:rsid w:val="00340A9B"/>
    <w:rsid w:val="003826D4"/>
    <w:rsid w:val="003A32EF"/>
    <w:rsid w:val="00404E5B"/>
    <w:rsid w:val="00414F7B"/>
    <w:rsid w:val="004355DC"/>
    <w:rsid w:val="004749B4"/>
    <w:rsid w:val="00494130"/>
    <w:rsid w:val="004D0207"/>
    <w:rsid w:val="004F3523"/>
    <w:rsid w:val="005159E8"/>
    <w:rsid w:val="00516076"/>
    <w:rsid w:val="005502D2"/>
    <w:rsid w:val="00561A13"/>
    <w:rsid w:val="005973B9"/>
    <w:rsid w:val="005B1402"/>
    <w:rsid w:val="005B3A56"/>
    <w:rsid w:val="005C3024"/>
    <w:rsid w:val="006060CE"/>
    <w:rsid w:val="0063497F"/>
    <w:rsid w:val="00637C22"/>
    <w:rsid w:val="00664B5B"/>
    <w:rsid w:val="00731104"/>
    <w:rsid w:val="00792282"/>
    <w:rsid w:val="007C2FBF"/>
    <w:rsid w:val="00873DF0"/>
    <w:rsid w:val="008756E6"/>
    <w:rsid w:val="00886F4D"/>
    <w:rsid w:val="008B2967"/>
    <w:rsid w:val="008C20B5"/>
    <w:rsid w:val="00996FA9"/>
    <w:rsid w:val="009B2D44"/>
    <w:rsid w:val="009E79D3"/>
    <w:rsid w:val="00A04C48"/>
    <w:rsid w:val="00A07E82"/>
    <w:rsid w:val="00A9710C"/>
    <w:rsid w:val="00AE3E37"/>
    <w:rsid w:val="00AE793B"/>
    <w:rsid w:val="00AF3E8D"/>
    <w:rsid w:val="00B148FD"/>
    <w:rsid w:val="00B21A57"/>
    <w:rsid w:val="00BA4992"/>
    <w:rsid w:val="00C33602"/>
    <w:rsid w:val="00C34A21"/>
    <w:rsid w:val="00C50523"/>
    <w:rsid w:val="00CB36C6"/>
    <w:rsid w:val="00CD6F55"/>
    <w:rsid w:val="00CF140C"/>
    <w:rsid w:val="00D70E05"/>
    <w:rsid w:val="00DC0212"/>
    <w:rsid w:val="00DE3104"/>
    <w:rsid w:val="00DE71F7"/>
    <w:rsid w:val="00E2323B"/>
    <w:rsid w:val="00E54E10"/>
    <w:rsid w:val="00E74AF4"/>
    <w:rsid w:val="00EC3579"/>
    <w:rsid w:val="00F02102"/>
    <w:rsid w:val="00F271F4"/>
    <w:rsid w:val="00F63C4D"/>
    <w:rsid w:val="00F72EEA"/>
    <w:rsid w:val="00F84CAE"/>
    <w:rsid w:val="00F90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36A414-012D-43DB-862F-E9C570E6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346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269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937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9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45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461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22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6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3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nalladojordan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644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Gina Lladó Jordan</cp:lastModifiedBy>
  <cp:revision>52</cp:revision>
  <dcterms:created xsi:type="dcterms:W3CDTF">2018-05-05T14:59:00Z</dcterms:created>
  <dcterms:modified xsi:type="dcterms:W3CDTF">2018-05-07T11:09:00Z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