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Pr="00AE1423" w:rsidRDefault="008B53CE" w:rsidP="00AE1423">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19050" b="19050"/>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AE1423">
                            <w:pPr>
                              <w:rPr>
                                <w:lang w:val="en-IN"/>
                              </w:rPr>
                            </w:pPr>
                            <w:r>
                              <w:rPr>
                                <w:noProof/>
                                <w:lang w:eastAsia="en-US"/>
                              </w:rPr>
                              <w:drawing>
                                <wp:inline distT="0" distB="0" distL="0" distR="0" wp14:anchorId="2E830994" wp14:editId="74133F44">
                                  <wp:extent cx="1495425" cy="895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t.jpg"/>
                                          <pic:cNvPicPr/>
                                        </pic:nvPicPr>
                                        <pic:blipFill>
                                          <a:blip r:embed="rId5">
                                            <a:extLst>
                                              <a:ext uri="{28A0092B-C50C-407E-A947-70E740481C1C}">
                                                <a14:useLocalDpi xmlns:a14="http://schemas.microsoft.com/office/drawing/2010/main" val="0"/>
                                              </a:ext>
                                            </a:extLst>
                                          </a:blip>
                                          <a:stretch>
                                            <a:fillRect/>
                                          </a:stretch>
                                        </pic:blipFill>
                                        <pic:spPr>
                                          <a:xfrm>
                                            <a:off x="0" y="0"/>
                                            <a:ext cx="1501155" cy="898781"/>
                                          </a:xfrm>
                                          <a:prstGeom prst="rect">
                                            <a:avLst/>
                                          </a:prstGeom>
                                        </pic:spPr>
                                      </pic:pic>
                                    </a:graphicData>
                                  </a:graphic>
                                </wp:inline>
                              </w:drawing>
                            </w:r>
                          </w:p>
                          <w:p w:rsidR="00AF61EB" w:rsidRDefault="00AF61EB">
                            <w:pPr>
                              <w:rPr>
                                <w:lang w:val="en-IN"/>
                              </w:rPr>
                            </w:pPr>
                          </w:p>
                          <w:p w:rsidR="00AF61EB" w:rsidRPr="00B03DB8" w:rsidRDefault="00AF61EB">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aiI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Z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GG5qIj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AE1423">
                      <w:pPr>
                        <w:rPr>
                          <w:lang w:val="en-IN"/>
                        </w:rPr>
                      </w:pPr>
                      <w:r>
                        <w:rPr>
                          <w:noProof/>
                          <w:lang w:eastAsia="en-US"/>
                        </w:rPr>
                        <w:drawing>
                          <wp:inline distT="0" distB="0" distL="0" distR="0" wp14:anchorId="2E830994" wp14:editId="74133F44">
                            <wp:extent cx="1495425" cy="895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t.jpg"/>
                                    <pic:cNvPicPr/>
                                  </pic:nvPicPr>
                                  <pic:blipFill>
                                    <a:blip r:embed="rId5">
                                      <a:extLst>
                                        <a:ext uri="{28A0092B-C50C-407E-A947-70E740481C1C}">
                                          <a14:useLocalDpi xmlns:a14="http://schemas.microsoft.com/office/drawing/2010/main" val="0"/>
                                        </a:ext>
                                      </a:extLst>
                                    </a:blip>
                                    <a:stretch>
                                      <a:fillRect/>
                                    </a:stretch>
                                  </pic:blipFill>
                                  <pic:spPr>
                                    <a:xfrm>
                                      <a:off x="0" y="0"/>
                                      <a:ext cx="1501155" cy="898781"/>
                                    </a:xfrm>
                                    <a:prstGeom prst="rect">
                                      <a:avLst/>
                                    </a:prstGeom>
                                  </pic:spPr>
                                </pic:pic>
                              </a:graphicData>
                            </a:graphic>
                          </wp:inline>
                        </w:drawing>
                      </w:r>
                    </w:p>
                    <w:p w:rsidR="00AF61EB" w:rsidRDefault="00AF61EB">
                      <w:pPr>
                        <w:rPr>
                          <w:lang w:val="en-IN"/>
                        </w:rPr>
                      </w:pPr>
                    </w:p>
                    <w:p w:rsidR="00AF61EB" w:rsidRPr="00B03DB8" w:rsidRDefault="00AF61EB">
                      <w:pPr>
                        <w:rPr>
                          <w:b/>
                          <w:color w:val="0000FF"/>
                          <w:lang w:val="en-IN"/>
                        </w:rPr>
                      </w:pPr>
                    </w:p>
                  </w:txbxContent>
                </v:textbox>
              </v:roundrect>
            </w:pict>
          </mc:Fallback>
        </mc:AlternateContent>
      </w:r>
      <w:r w:rsidR="00AE1423">
        <w:rPr>
          <w:rFonts w:eastAsia="MS PGothic"/>
          <w:b/>
          <w:noProof/>
          <w:color w:val="000000"/>
          <w:sz w:val="28"/>
          <w:szCs w:val="28"/>
          <w:lang w:eastAsia="en-US"/>
        </w:rPr>
        <w:drawing>
          <wp:inline distT="0" distB="0" distL="0" distR="0" wp14:anchorId="240281AB" wp14:editId="0F3535FF">
            <wp:extent cx="1495425" cy="2038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95425" cy="2038350"/>
                    </a:xfrm>
                    <a:prstGeom prst="rect">
                      <a:avLst/>
                    </a:prstGeom>
                    <a:noFill/>
                    <a:ln>
                      <a:noFill/>
                    </a:ln>
                  </pic:spPr>
                </pic:pic>
              </a:graphicData>
            </a:graphic>
          </wp:inline>
        </w:drawing>
      </w:r>
    </w:p>
    <w:p w:rsidR="00AF61EB" w:rsidRDefault="00AF61EB" w:rsidP="00074C9C">
      <w:pPr>
        <w:rPr>
          <w:rFonts w:eastAsia="MS PGothic"/>
          <w:b/>
          <w:color w:val="000000"/>
          <w:sz w:val="28"/>
          <w:szCs w:val="28"/>
        </w:rPr>
      </w:pPr>
    </w:p>
    <w:p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204DB7" w:rsidRPr="00204DB7">
        <w:rPr>
          <w:rFonts w:eastAsia="MS PGothic"/>
          <w:color w:val="000000"/>
          <w:sz w:val="28"/>
          <w:szCs w:val="28"/>
        </w:rPr>
        <w:t>Synthesis and Investigation of Process Parameters Influence in LENS Additive Manufacturing of Ti-6Al-4V Components</w:t>
      </w: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204DB7">
        <w:rPr>
          <w:rFonts w:eastAsia="MS PGothic" w:hAnsi="Arial"/>
          <w:color w:val="000000"/>
        </w:rPr>
        <w:t>Name: Percival Nduduzo Sibisi</w:t>
      </w:r>
    </w:p>
    <w:p w:rsidR="008E2F78" w:rsidRDefault="008E2F78" w:rsidP="003A3C5A">
      <w:pPr>
        <w:rPr>
          <w:rFonts w:eastAsia="MS PGothic" w:hAnsi="Arial"/>
          <w:color w:val="000000"/>
        </w:rPr>
      </w:pPr>
    </w:p>
    <w:p w:rsidR="00204DB7" w:rsidRDefault="00204DB7" w:rsidP="00204DB7">
      <w:pPr>
        <w:jc w:val="center"/>
        <w:rPr>
          <w:rFonts w:eastAsia="MS PGothic" w:hAnsi="Arial"/>
          <w:color w:val="000000"/>
        </w:rPr>
      </w:pPr>
      <w:bookmarkStart w:id="0" w:name="_GoBack"/>
      <w:bookmarkEnd w:id="0"/>
      <w:r>
        <w:rPr>
          <w:rFonts w:eastAsia="MS PGothic" w:hAnsi="Arial"/>
          <w:color w:val="000000"/>
        </w:rPr>
        <w:t>Tshwane University of Technology, Department of Chemical, Metallurgical and Materials Engineering, Pretoria, South Africa</w:t>
      </w:r>
    </w:p>
    <w:p w:rsidR="00DC433A" w:rsidRPr="00D81022" w:rsidRDefault="00DC433A" w:rsidP="00DC433A">
      <w:pPr>
        <w:jc w:val="center"/>
        <w:rPr>
          <w:color w:val="0000FF"/>
          <w:sz w:val="36"/>
          <w:szCs w:val="36"/>
        </w:rPr>
      </w:pPr>
    </w:p>
    <w:p w:rsidR="00131321" w:rsidRDefault="006C2A68" w:rsidP="00B314BA">
      <w:pPr>
        <w:ind w:firstLine="720"/>
        <w:jc w:val="both"/>
        <w:rPr>
          <w:color w:val="000000"/>
        </w:rPr>
      </w:pPr>
      <w:r w:rsidRPr="006C2A68">
        <w:rPr>
          <w:color w:val="000000"/>
        </w:rPr>
        <w:t>The laser engineered net shaping (LENS) platform offers the advantage of a more homogenous microstructure evolving from component manufacture by the direct energy deposition (DED) technique, compared to typical selective laser melting (SLM) platforms. This is a breaking edge advanced manufacturing technique with the possibility of changing the perception of design and manufacturing as a whole. However, this technique is at an early stage of development, and very little is known about the fundamental physics relating process mechanisms to the material processing. Fundamental to the process is parameter variations that allow for process optimization and improvements in material properties to be</w:t>
      </w:r>
      <w:r w:rsidR="00042946">
        <w:rPr>
          <w:color w:val="000000"/>
        </w:rPr>
        <w:t xml:space="preserve"> achieved. This work entails an</w:t>
      </w:r>
      <w:r w:rsidRPr="006C2A68">
        <w:rPr>
          <w:color w:val="000000"/>
        </w:rPr>
        <w:t xml:space="preserve"> </w:t>
      </w:r>
      <w:r w:rsidR="00042946">
        <w:rPr>
          <w:color w:val="000000"/>
        </w:rPr>
        <w:t xml:space="preserve">experimental </w:t>
      </w:r>
      <w:r w:rsidRPr="006C2A68">
        <w:rPr>
          <w:color w:val="000000"/>
        </w:rPr>
        <w:t>study of microstructural features</w:t>
      </w:r>
      <w:r w:rsidR="00C77D00">
        <w:rPr>
          <w:color w:val="000000"/>
        </w:rPr>
        <w:t>, tensile strength and m</w:t>
      </w:r>
      <w:r w:rsidRPr="006C2A68">
        <w:rPr>
          <w:color w:val="000000"/>
        </w:rPr>
        <w:t>icro</w:t>
      </w:r>
      <w:r w:rsidR="00042946">
        <w:rPr>
          <w:color w:val="000000"/>
        </w:rPr>
        <w:t xml:space="preserve"> </w:t>
      </w:r>
      <w:r w:rsidRPr="006C2A68">
        <w:rPr>
          <w:color w:val="000000"/>
        </w:rPr>
        <w:t>hardness property of the LENS fa</w:t>
      </w:r>
      <w:r w:rsidR="00042946">
        <w:rPr>
          <w:color w:val="000000"/>
        </w:rPr>
        <w:t>bricated Ti-6Al-4V test samples. The samples were deposited at</w:t>
      </w:r>
      <w:r w:rsidRPr="006C2A68">
        <w:rPr>
          <w:color w:val="000000"/>
        </w:rPr>
        <w:t xml:space="preserve"> power densities between 8.751-21.883J/mm</w:t>
      </w:r>
      <w:r w:rsidRPr="00C77D00">
        <w:rPr>
          <w:color w:val="000000"/>
          <w:vertAlign w:val="superscript"/>
        </w:rPr>
        <w:t>2</w:t>
      </w:r>
      <w:r w:rsidRPr="006C2A68">
        <w:rPr>
          <w:color w:val="000000"/>
        </w:rPr>
        <w:t xml:space="preserve"> against varied </w:t>
      </w:r>
      <w:r w:rsidR="00C77D00">
        <w:rPr>
          <w:color w:val="000000"/>
        </w:rPr>
        <w:t>powder feed rate</w:t>
      </w:r>
      <w:r w:rsidRPr="006C2A68">
        <w:rPr>
          <w:color w:val="000000"/>
        </w:rPr>
        <w:t xml:space="preserve"> (1.6-4.08</w:t>
      </w:r>
      <w:r w:rsidR="00C77D00">
        <w:rPr>
          <w:color w:val="000000"/>
        </w:rPr>
        <w:t>g/min</w:t>
      </w:r>
      <w:r w:rsidRPr="006C2A68">
        <w:rPr>
          <w:color w:val="000000"/>
        </w:rPr>
        <w:t>) and; a 25%, 50%</w:t>
      </w:r>
      <w:r>
        <w:rPr>
          <w:color w:val="000000"/>
        </w:rPr>
        <w:t xml:space="preserve"> and 75% overlap/hatch-</w:t>
      </w:r>
      <w:r w:rsidR="00C77D00">
        <w:rPr>
          <w:color w:val="000000"/>
        </w:rPr>
        <w:t>spacing.</w:t>
      </w:r>
      <w:r w:rsidR="00C77D00" w:rsidRPr="006C2A68">
        <w:rPr>
          <w:color w:val="000000"/>
        </w:rPr>
        <w:t xml:space="preserve"> The</w:t>
      </w:r>
      <w:r w:rsidRPr="006C2A68">
        <w:rPr>
          <w:color w:val="000000"/>
        </w:rPr>
        <w:t xml:space="preserve"> micrographs produced by a scanning</w:t>
      </w:r>
      <w:r>
        <w:rPr>
          <w:color w:val="000000"/>
        </w:rPr>
        <w:t xml:space="preserve"> electron microscope revealed </w:t>
      </w:r>
      <w:r w:rsidRPr="006C2A68">
        <w:rPr>
          <w:color w:val="000000"/>
        </w:rPr>
        <w:t>refined microstruct</w:t>
      </w:r>
      <w:r w:rsidR="00C77D00">
        <w:rPr>
          <w:color w:val="000000"/>
        </w:rPr>
        <w:t xml:space="preserve">ure composed of a typical dual </w:t>
      </w:r>
      <w:r w:rsidR="00C77D00">
        <w:rPr>
          <w:color w:val="000000"/>
        </w:rPr>
        <w:sym w:font="Symbol" w:char="F061"/>
      </w:r>
      <w:r w:rsidR="00C77D00">
        <w:rPr>
          <w:color w:val="000000"/>
        </w:rPr>
        <w:t>-</w:t>
      </w:r>
      <w:r w:rsidR="00C77D00">
        <w:rPr>
          <w:color w:val="000000"/>
        </w:rPr>
        <w:sym w:font="Symbol" w:char="F062"/>
      </w:r>
      <w:r w:rsidRPr="006C2A68">
        <w:rPr>
          <w:color w:val="000000"/>
        </w:rPr>
        <w:t xml:space="preserve"> phase, w</w:t>
      </w:r>
      <w:r w:rsidR="00C77D00">
        <w:rPr>
          <w:color w:val="000000"/>
        </w:rPr>
        <w:t xml:space="preserve">ith </w:t>
      </w:r>
      <w:r w:rsidR="00042946">
        <w:rPr>
          <w:color w:val="000000"/>
        </w:rPr>
        <w:sym w:font="Symbol" w:char="F061"/>
      </w:r>
      <w:r w:rsidRPr="006C2A68">
        <w:rPr>
          <w:color w:val="000000"/>
        </w:rPr>
        <w:t>-p</w:t>
      </w:r>
      <w:r w:rsidR="00042946">
        <w:rPr>
          <w:color w:val="000000"/>
        </w:rPr>
        <w:t xml:space="preserve">hase lamellae dissolved in the </w:t>
      </w:r>
      <w:r w:rsidR="00042946">
        <w:rPr>
          <w:color w:val="000000"/>
        </w:rPr>
        <w:sym w:font="Symbol" w:char="F062"/>
      </w:r>
      <w:r w:rsidRPr="006C2A68">
        <w:rPr>
          <w:color w:val="000000"/>
        </w:rPr>
        <w:t>-phase. The X</w:t>
      </w:r>
      <w:r w:rsidR="00042946">
        <w:rPr>
          <w:color w:val="000000"/>
        </w:rPr>
        <w:t xml:space="preserve">-ray </w:t>
      </w:r>
      <w:r w:rsidRPr="006C2A68">
        <w:rPr>
          <w:color w:val="000000"/>
        </w:rPr>
        <w:t>D</w:t>
      </w:r>
      <w:r w:rsidR="00042946">
        <w:rPr>
          <w:color w:val="000000"/>
        </w:rPr>
        <w:t>iffraction</w:t>
      </w:r>
      <w:r w:rsidRPr="006C2A68">
        <w:rPr>
          <w:color w:val="000000"/>
        </w:rPr>
        <w:t xml:space="preserve"> analyses revealed dominant compounds evolved during processing at moderate to high power densities</w:t>
      </w:r>
      <w:r>
        <w:rPr>
          <w:color w:val="000000"/>
        </w:rPr>
        <w:t xml:space="preserve">. </w:t>
      </w:r>
      <w:r w:rsidR="00131321">
        <w:rPr>
          <w:color w:val="000000"/>
        </w:rPr>
        <w:t xml:space="preserve">In addition, lower powder feed-rates at low power densities were found to be detrimental to both the micro hardness and tensile properties. </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DA409D" w:rsidRDefault="00204DB7" w:rsidP="00363668">
      <w:pPr>
        <w:jc w:val="both"/>
      </w:pPr>
      <w:r w:rsidRPr="00204DB7">
        <w:t xml:space="preserve">P.N </w:t>
      </w:r>
      <w:proofErr w:type="spellStart"/>
      <w:r w:rsidRPr="00204DB7">
        <w:t>Sibisi</w:t>
      </w:r>
      <w:proofErr w:type="spellEnd"/>
      <w:r w:rsidRPr="00204DB7">
        <w:t xml:space="preserve"> is currently a student researcher rounding up his master’s degree in Metallurgical Engineering at the Tshwane University of Technology in Pretoria, South Africa. His present research interests include laser additive manufacturing (LENS)</w:t>
      </w:r>
      <w:r w:rsidR="00DA409D">
        <w:t xml:space="preserve"> of Titanium alloys as well as</w:t>
      </w:r>
      <w:r w:rsidRPr="00204DB7">
        <w:t xml:space="preserve"> </w:t>
      </w:r>
      <w:r w:rsidR="00DA409D">
        <w:t>Process Optimization, modelling and Simulation.</w:t>
      </w:r>
    </w:p>
    <w:p w:rsidR="00C77D00" w:rsidRPr="00042946" w:rsidRDefault="00C77D00" w:rsidP="00363668">
      <w:pPr>
        <w:jc w:val="both"/>
      </w:pPr>
    </w:p>
    <w:sectPr w:rsidR="00C77D00" w:rsidRPr="00042946"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altName w:val="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42946"/>
    <w:rsid w:val="00074C9C"/>
    <w:rsid w:val="000D6718"/>
    <w:rsid w:val="00131321"/>
    <w:rsid w:val="001B06AE"/>
    <w:rsid w:val="00204DB7"/>
    <w:rsid w:val="00265E72"/>
    <w:rsid w:val="002C359D"/>
    <w:rsid w:val="002C3D9B"/>
    <w:rsid w:val="0031455A"/>
    <w:rsid w:val="00363668"/>
    <w:rsid w:val="00384441"/>
    <w:rsid w:val="003A3C5A"/>
    <w:rsid w:val="00424209"/>
    <w:rsid w:val="00437503"/>
    <w:rsid w:val="00441F91"/>
    <w:rsid w:val="004E62DD"/>
    <w:rsid w:val="004F0441"/>
    <w:rsid w:val="005B4B32"/>
    <w:rsid w:val="00654259"/>
    <w:rsid w:val="006C2A68"/>
    <w:rsid w:val="007341F9"/>
    <w:rsid w:val="0078229D"/>
    <w:rsid w:val="007B0D32"/>
    <w:rsid w:val="007D00E7"/>
    <w:rsid w:val="007D233A"/>
    <w:rsid w:val="007D5AD0"/>
    <w:rsid w:val="007D65C7"/>
    <w:rsid w:val="008747F9"/>
    <w:rsid w:val="008B53CE"/>
    <w:rsid w:val="008E2F78"/>
    <w:rsid w:val="008E737B"/>
    <w:rsid w:val="00912F54"/>
    <w:rsid w:val="009E52D9"/>
    <w:rsid w:val="00A4183E"/>
    <w:rsid w:val="00A50C1E"/>
    <w:rsid w:val="00A67093"/>
    <w:rsid w:val="00AA5A30"/>
    <w:rsid w:val="00AC5543"/>
    <w:rsid w:val="00AE1423"/>
    <w:rsid w:val="00AF61EB"/>
    <w:rsid w:val="00B03DB8"/>
    <w:rsid w:val="00B17C38"/>
    <w:rsid w:val="00B314BA"/>
    <w:rsid w:val="00B44878"/>
    <w:rsid w:val="00B8710A"/>
    <w:rsid w:val="00BA2068"/>
    <w:rsid w:val="00BE7C15"/>
    <w:rsid w:val="00C07C5B"/>
    <w:rsid w:val="00C578FF"/>
    <w:rsid w:val="00C77D00"/>
    <w:rsid w:val="00C828BF"/>
    <w:rsid w:val="00CE6677"/>
    <w:rsid w:val="00D605F8"/>
    <w:rsid w:val="00D734FE"/>
    <w:rsid w:val="00D841B1"/>
    <w:rsid w:val="00DA409D"/>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potentio 1</cp:lastModifiedBy>
  <cp:revision>3</cp:revision>
  <dcterms:created xsi:type="dcterms:W3CDTF">2018-04-01T22:46:00Z</dcterms:created>
  <dcterms:modified xsi:type="dcterms:W3CDTF">2018-04-01T22:54:00Z</dcterms:modified>
</cp:coreProperties>
</file>