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972" w:rsidRPr="00316F1A" w:rsidRDefault="00C85449" w:rsidP="00316F1A">
      <w:pPr>
        <w:jc w:val="center"/>
        <w:rPr>
          <w:rFonts w:ascii="Arial" w:hAnsi="Arial" w:cs="Arial"/>
          <w:sz w:val="28"/>
          <w:szCs w:val="28"/>
        </w:rPr>
      </w:pPr>
      <w:r w:rsidRPr="00316F1A">
        <w:rPr>
          <w:rFonts w:ascii="Arial" w:hAnsi="Arial" w:cs="Arial"/>
          <w:sz w:val="28"/>
          <w:szCs w:val="28"/>
        </w:rPr>
        <w:t>Simulation and optimisation of microstructure of nickel cermet as the anode materials for solid oxide fuel cells</w:t>
      </w:r>
    </w:p>
    <w:p w:rsidR="00316F1A" w:rsidRPr="00316F1A" w:rsidRDefault="00316F1A" w:rsidP="00316F1A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16F1A">
        <w:rPr>
          <w:rFonts w:ascii="Arial" w:hAnsi="Arial" w:cs="Arial"/>
          <w:sz w:val="24"/>
          <w:szCs w:val="24"/>
        </w:rPr>
        <w:t>Xin Wang and Alan Atkinson</w:t>
      </w:r>
    </w:p>
    <w:p w:rsidR="00316F1A" w:rsidRPr="00316F1A" w:rsidRDefault="00316F1A" w:rsidP="00316F1A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16F1A">
        <w:rPr>
          <w:rFonts w:ascii="Arial" w:hAnsi="Arial" w:cs="Arial"/>
          <w:sz w:val="24"/>
          <w:szCs w:val="24"/>
        </w:rPr>
        <w:t>Department of Materials, Imperial College London SW7 2BP, UK</w:t>
      </w:r>
    </w:p>
    <w:p w:rsidR="00316F1A" w:rsidRPr="00316F1A" w:rsidRDefault="00316F1A">
      <w:pPr>
        <w:rPr>
          <w:sz w:val="24"/>
          <w:szCs w:val="24"/>
        </w:rPr>
      </w:pPr>
    </w:p>
    <w:p w:rsidR="00C85449" w:rsidRPr="00316F1A" w:rsidRDefault="00C85449">
      <w:pPr>
        <w:rPr>
          <w:rFonts w:ascii="Arial" w:hAnsi="Arial" w:cs="Arial"/>
          <w:b/>
          <w:sz w:val="24"/>
          <w:szCs w:val="24"/>
        </w:rPr>
      </w:pPr>
      <w:r w:rsidRPr="00316F1A">
        <w:rPr>
          <w:rFonts w:ascii="Arial" w:hAnsi="Arial" w:cs="Arial"/>
          <w:b/>
          <w:sz w:val="24"/>
          <w:szCs w:val="24"/>
        </w:rPr>
        <w:t>Abstract</w:t>
      </w:r>
    </w:p>
    <w:p w:rsidR="00B42070" w:rsidRPr="00316F1A" w:rsidRDefault="00B42070" w:rsidP="00B42070">
      <w:pPr>
        <w:rPr>
          <w:rFonts w:ascii="Arial" w:hAnsi="Arial" w:cs="Arial"/>
          <w:sz w:val="24"/>
          <w:szCs w:val="24"/>
        </w:rPr>
      </w:pPr>
      <w:r w:rsidRPr="00316F1A">
        <w:rPr>
          <w:rFonts w:ascii="Arial" w:hAnsi="Arial" w:cs="Arial"/>
          <w:sz w:val="24"/>
          <w:szCs w:val="24"/>
        </w:rPr>
        <w:t>The solid-oxide fuel cells (SOFCs) convert chemical energy directly to electrical energy.  They offer high efficiencies and have unique scalability in electricity-gene</w:t>
      </w:r>
      <w:r w:rsidR="002B74ED">
        <w:rPr>
          <w:rFonts w:ascii="Arial" w:hAnsi="Arial" w:cs="Arial"/>
          <w:sz w:val="24"/>
          <w:szCs w:val="24"/>
        </w:rPr>
        <w:t>ration applications. However</w:t>
      </w:r>
      <w:r w:rsidRPr="00316F1A">
        <w:rPr>
          <w:rFonts w:ascii="Arial" w:hAnsi="Arial" w:cs="Arial"/>
          <w:sz w:val="24"/>
          <w:szCs w:val="24"/>
        </w:rPr>
        <w:t xml:space="preserve"> widespread SOFC im</w:t>
      </w:r>
      <w:r w:rsidR="002B74ED">
        <w:rPr>
          <w:rFonts w:ascii="Arial" w:hAnsi="Arial" w:cs="Arial"/>
          <w:sz w:val="24"/>
          <w:szCs w:val="24"/>
        </w:rPr>
        <w:t>plementation is still facing</w:t>
      </w:r>
      <w:r w:rsidRPr="00316F1A">
        <w:rPr>
          <w:rFonts w:ascii="Arial" w:hAnsi="Arial" w:cs="Arial"/>
          <w:sz w:val="24"/>
          <w:szCs w:val="24"/>
        </w:rPr>
        <w:t xml:space="preserve"> high cost and </w:t>
      </w:r>
      <w:r w:rsidR="002B74ED">
        <w:rPr>
          <w:rFonts w:ascii="Arial" w:hAnsi="Arial" w:cs="Arial"/>
          <w:sz w:val="24"/>
          <w:szCs w:val="24"/>
        </w:rPr>
        <w:t xml:space="preserve">some </w:t>
      </w:r>
      <w:r w:rsidRPr="00316F1A">
        <w:rPr>
          <w:rFonts w:ascii="Arial" w:hAnsi="Arial" w:cs="Arial"/>
          <w:sz w:val="24"/>
          <w:szCs w:val="24"/>
        </w:rPr>
        <w:t xml:space="preserve">technical barriers, among which the performance degradation of </w:t>
      </w:r>
      <w:r w:rsidR="002B74ED">
        <w:rPr>
          <w:rFonts w:ascii="Arial" w:hAnsi="Arial" w:cs="Arial"/>
          <w:sz w:val="24"/>
          <w:szCs w:val="24"/>
        </w:rPr>
        <w:t xml:space="preserve">the </w:t>
      </w:r>
      <w:r w:rsidRPr="00316F1A">
        <w:rPr>
          <w:rFonts w:ascii="Arial" w:hAnsi="Arial" w:cs="Arial"/>
          <w:sz w:val="24"/>
          <w:szCs w:val="24"/>
        </w:rPr>
        <w:t>anode is one of the most important issues</w:t>
      </w:r>
      <w:r w:rsidR="00622A90">
        <w:rPr>
          <w:rFonts w:ascii="Arial" w:hAnsi="Arial" w:cs="Arial"/>
          <w:sz w:val="24"/>
          <w:szCs w:val="24"/>
        </w:rPr>
        <w:t xml:space="preserve"> </w:t>
      </w:r>
      <w:r w:rsidR="005B02EF">
        <w:rPr>
          <w:rFonts w:ascii="Arial" w:hAnsi="Arial" w:cs="Arial"/>
          <w:sz w:val="24"/>
          <w:szCs w:val="24"/>
        </w:rPr>
        <w:fldChar w:fldCharType="begin"/>
      </w:r>
      <w:r w:rsidR="005B02EF">
        <w:rPr>
          <w:rFonts w:ascii="Arial" w:hAnsi="Arial" w:cs="Arial"/>
          <w:sz w:val="24"/>
          <w:szCs w:val="24"/>
        </w:rPr>
        <w:instrText xml:space="preserve"> ADDIN EN.CITE &lt;EndNote&gt;&lt;Cite&gt;&lt;Author&gt;Atkinson&lt;/Author&gt;&lt;Year&gt;2004&lt;/Year&gt;&lt;RecNum&gt;105&lt;/RecNum&gt;&lt;DisplayText&gt;[1]&lt;/DisplayText&gt;&lt;record&gt;&lt;rec-number&gt;105&lt;/rec-number&gt;&lt;foreign-keys&gt;&lt;key app="EN" db-id="raa0xpfpbxdes6edxe5ps50jfefr2ptefvts" timestamp="1521717976"&gt;105&lt;/key&gt;&lt;/foreign-keys&gt;&lt;ref-type name="Journal Article"&gt;17&lt;/ref-type&gt;&lt;contributors&gt;&lt;authors&gt;&lt;author&gt;Atkinson, A.&lt;/author&gt;&lt;author&gt;Barnett, S.&lt;/author&gt;&lt;author&gt;Gorte, R. J.&lt;/author&gt;&lt;author&gt;Irvine, J. T. S.&lt;/author&gt;&lt;author&gt;McEvoy, A. J.&lt;/author&gt;&lt;author&gt;Mogensen, M.&lt;/author&gt;&lt;author&gt;Singhal, S. C.&lt;/author&gt;&lt;author&gt;Vohs, J.&lt;/author&gt;&lt;/authors&gt;&lt;/contributors&gt;&lt;titles&gt;&lt;title&gt;Advanced anodes for high-temperature fuel cells&lt;/title&gt;&lt;secondary-title&gt;Nature Materials&lt;/secondary-title&gt;&lt;/titles&gt;&lt;pages&gt;17&lt;/pages&gt;&lt;volume&gt;3&lt;/volume&gt;&lt;dates&gt;&lt;year&gt;2004&lt;/year&gt;&lt;pub-dates&gt;&lt;date&gt;01/01/online&lt;/date&gt;&lt;/pub-dates&gt;&lt;/dates&gt;&lt;publisher&gt;Nature Publishing Group&lt;/publisher&gt;&lt;urls&gt;&lt;related-urls&gt;&lt;url&gt;http://dx.doi.org/10.1038/nmat1040&lt;/url&gt;&lt;/related-urls&gt;&lt;/urls&gt;&lt;electronic-resource-num&gt;10.1038/nmat1040&lt;/electronic-resource-num&gt;&lt;/record&gt;&lt;/Cite&gt;&lt;/EndNote&gt;</w:instrText>
      </w:r>
      <w:r w:rsidR="005B02EF">
        <w:rPr>
          <w:rFonts w:ascii="Arial" w:hAnsi="Arial" w:cs="Arial"/>
          <w:sz w:val="24"/>
          <w:szCs w:val="24"/>
        </w:rPr>
        <w:fldChar w:fldCharType="separate"/>
      </w:r>
      <w:r w:rsidR="005B02EF">
        <w:rPr>
          <w:rFonts w:ascii="Arial" w:hAnsi="Arial" w:cs="Arial"/>
          <w:noProof/>
          <w:sz w:val="24"/>
          <w:szCs w:val="24"/>
        </w:rPr>
        <w:t>[1]</w:t>
      </w:r>
      <w:r w:rsidR="005B02EF">
        <w:rPr>
          <w:rFonts w:ascii="Arial" w:hAnsi="Arial" w:cs="Arial"/>
          <w:sz w:val="24"/>
          <w:szCs w:val="24"/>
        </w:rPr>
        <w:fldChar w:fldCharType="end"/>
      </w:r>
      <w:r w:rsidR="00316F1A" w:rsidRPr="00316F1A">
        <w:rPr>
          <w:rFonts w:ascii="Arial" w:hAnsi="Arial" w:cs="Arial"/>
          <w:sz w:val="24"/>
          <w:szCs w:val="24"/>
        </w:rPr>
        <w:t>.</w:t>
      </w:r>
    </w:p>
    <w:p w:rsidR="00C85449" w:rsidRPr="00316F1A" w:rsidRDefault="00C85449">
      <w:pPr>
        <w:rPr>
          <w:rFonts w:ascii="Arial" w:hAnsi="Arial" w:cs="Arial"/>
          <w:sz w:val="24"/>
          <w:szCs w:val="24"/>
        </w:rPr>
      </w:pPr>
      <w:r w:rsidRPr="00316F1A">
        <w:rPr>
          <w:rFonts w:ascii="Arial" w:hAnsi="Arial" w:cs="Arial"/>
          <w:sz w:val="24"/>
          <w:szCs w:val="24"/>
        </w:rPr>
        <w:t xml:space="preserve"> Nickel cermet is the most popular anode material for SOFC</w:t>
      </w:r>
      <w:r w:rsidR="001C2EAF" w:rsidRPr="00316F1A">
        <w:rPr>
          <w:rFonts w:ascii="Arial" w:hAnsi="Arial" w:cs="Arial"/>
          <w:sz w:val="24"/>
          <w:szCs w:val="24"/>
        </w:rPr>
        <w:t>s</w:t>
      </w:r>
      <w:r w:rsidR="00B42070" w:rsidRPr="00316F1A">
        <w:rPr>
          <w:rFonts w:ascii="Arial" w:hAnsi="Arial" w:cs="Arial"/>
          <w:sz w:val="24"/>
          <w:szCs w:val="24"/>
        </w:rPr>
        <w:t xml:space="preserve">. </w:t>
      </w:r>
      <w:r w:rsidR="001C2EAF" w:rsidRPr="00316F1A">
        <w:rPr>
          <w:rFonts w:ascii="Arial" w:hAnsi="Arial" w:cs="Arial"/>
          <w:sz w:val="24"/>
          <w:szCs w:val="24"/>
        </w:rPr>
        <w:t>At</w:t>
      </w:r>
      <w:r w:rsidR="00B42070" w:rsidRPr="00316F1A">
        <w:rPr>
          <w:rFonts w:ascii="Arial" w:hAnsi="Arial" w:cs="Arial"/>
          <w:sz w:val="24"/>
          <w:szCs w:val="24"/>
        </w:rPr>
        <w:t xml:space="preserve"> operation temperature</w:t>
      </w:r>
      <w:r w:rsidR="001C2EAF" w:rsidRPr="00316F1A">
        <w:rPr>
          <w:rFonts w:ascii="Arial" w:hAnsi="Arial" w:cs="Arial"/>
          <w:sz w:val="24"/>
          <w:szCs w:val="24"/>
        </w:rPr>
        <w:t>s</w:t>
      </w:r>
      <w:r w:rsidR="00B42070" w:rsidRPr="00316F1A">
        <w:rPr>
          <w:rFonts w:ascii="Arial" w:hAnsi="Arial" w:cs="Arial"/>
          <w:sz w:val="24"/>
          <w:szCs w:val="24"/>
        </w:rPr>
        <w:t xml:space="preserve"> </w:t>
      </w:r>
      <w:r w:rsidR="001C2EAF" w:rsidRPr="00316F1A">
        <w:rPr>
          <w:rFonts w:ascii="Arial" w:hAnsi="Arial" w:cs="Arial"/>
          <w:sz w:val="24"/>
          <w:szCs w:val="24"/>
        </w:rPr>
        <w:t>(</w:t>
      </w:r>
      <w:r w:rsidR="00B42070" w:rsidRPr="00316F1A">
        <w:rPr>
          <w:rFonts w:ascii="Arial" w:hAnsi="Arial" w:cs="Arial"/>
          <w:sz w:val="24"/>
          <w:szCs w:val="24"/>
        </w:rPr>
        <w:t>typically 600-900 °C</w:t>
      </w:r>
      <w:r w:rsidR="002B74ED">
        <w:rPr>
          <w:rFonts w:ascii="Arial" w:hAnsi="Arial" w:cs="Arial"/>
          <w:sz w:val="24"/>
          <w:szCs w:val="24"/>
        </w:rPr>
        <w:t>), nickel has some mobility and as a result</w:t>
      </w:r>
      <w:r w:rsidR="001C2EAF" w:rsidRPr="00316F1A">
        <w:rPr>
          <w:rFonts w:ascii="Arial" w:hAnsi="Arial" w:cs="Arial"/>
          <w:sz w:val="24"/>
          <w:szCs w:val="24"/>
        </w:rPr>
        <w:t xml:space="preserve"> the microstructure of </w:t>
      </w:r>
      <w:r w:rsidR="002B74ED">
        <w:rPr>
          <w:rFonts w:ascii="Arial" w:hAnsi="Arial" w:cs="Arial"/>
          <w:sz w:val="24"/>
          <w:szCs w:val="24"/>
        </w:rPr>
        <w:t xml:space="preserve">the </w:t>
      </w:r>
      <w:r w:rsidR="001C2EAF" w:rsidRPr="00316F1A">
        <w:rPr>
          <w:rFonts w:ascii="Arial" w:hAnsi="Arial" w:cs="Arial"/>
          <w:sz w:val="24"/>
          <w:szCs w:val="24"/>
        </w:rPr>
        <w:t>Ni cermet keeps changing all the time which leads to performance degradation. Various efforts have been made to improve the long term performance of the anode, but long term test</w:t>
      </w:r>
      <w:r w:rsidR="002B74ED">
        <w:rPr>
          <w:rFonts w:ascii="Arial" w:hAnsi="Arial" w:cs="Arial"/>
          <w:sz w:val="24"/>
          <w:szCs w:val="24"/>
        </w:rPr>
        <w:t>ing</w:t>
      </w:r>
      <w:r w:rsidR="001C2EAF" w:rsidRPr="00316F1A">
        <w:rPr>
          <w:rFonts w:ascii="Arial" w:hAnsi="Arial" w:cs="Arial"/>
          <w:sz w:val="24"/>
          <w:szCs w:val="24"/>
        </w:rPr>
        <w:t xml:space="preserve"> is </w:t>
      </w:r>
      <w:r w:rsidR="00860D1E" w:rsidRPr="00316F1A">
        <w:rPr>
          <w:rFonts w:ascii="Arial" w:hAnsi="Arial" w:cs="Arial"/>
          <w:sz w:val="24"/>
          <w:szCs w:val="24"/>
        </w:rPr>
        <w:t xml:space="preserve">not only </w:t>
      </w:r>
      <w:r w:rsidR="002B74ED">
        <w:rPr>
          <w:rFonts w:ascii="Arial" w:hAnsi="Arial" w:cs="Arial"/>
          <w:sz w:val="24"/>
          <w:szCs w:val="24"/>
        </w:rPr>
        <w:t>time consuming,</w:t>
      </w:r>
      <w:r w:rsidR="001C2EAF" w:rsidRPr="00316F1A">
        <w:rPr>
          <w:rFonts w:ascii="Arial" w:hAnsi="Arial" w:cs="Arial"/>
          <w:sz w:val="24"/>
          <w:szCs w:val="24"/>
        </w:rPr>
        <w:t xml:space="preserve"> </w:t>
      </w:r>
      <w:r w:rsidR="00860D1E" w:rsidRPr="00316F1A">
        <w:rPr>
          <w:rFonts w:ascii="Arial" w:hAnsi="Arial" w:cs="Arial"/>
          <w:sz w:val="24"/>
          <w:szCs w:val="24"/>
        </w:rPr>
        <w:t xml:space="preserve">but also </w:t>
      </w:r>
      <w:r w:rsidR="001C2EAF" w:rsidRPr="00316F1A">
        <w:rPr>
          <w:rFonts w:ascii="Arial" w:hAnsi="Arial" w:cs="Arial"/>
          <w:sz w:val="24"/>
          <w:szCs w:val="24"/>
        </w:rPr>
        <w:t>expensive</w:t>
      </w:r>
      <w:r w:rsidR="002B74ED">
        <w:rPr>
          <w:rFonts w:ascii="Arial" w:hAnsi="Arial" w:cs="Arial"/>
          <w:sz w:val="24"/>
          <w:szCs w:val="24"/>
        </w:rPr>
        <w:t xml:space="preserve"> and</w:t>
      </w:r>
      <w:r w:rsidR="00860D1E" w:rsidRPr="00316F1A">
        <w:rPr>
          <w:rFonts w:ascii="Arial" w:hAnsi="Arial" w:cs="Arial"/>
          <w:sz w:val="24"/>
          <w:szCs w:val="24"/>
        </w:rPr>
        <w:t xml:space="preserve"> i</w:t>
      </w:r>
      <w:r w:rsidR="002B74ED">
        <w:rPr>
          <w:rFonts w:ascii="Arial" w:hAnsi="Arial" w:cs="Arial"/>
          <w:sz w:val="24"/>
          <w:szCs w:val="24"/>
        </w:rPr>
        <w:t>s often impractical</w:t>
      </w:r>
      <w:r w:rsidR="001C2EAF" w:rsidRPr="00316F1A">
        <w:rPr>
          <w:rFonts w:ascii="Arial" w:hAnsi="Arial" w:cs="Arial"/>
          <w:sz w:val="24"/>
          <w:szCs w:val="24"/>
        </w:rPr>
        <w:t>. Many experiment</w:t>
      </w:r>
      <w:r w:rsidR="00860D1E" w:rsidRPr="00316F1A">
        <w:rPr>
          <w:rFonts w:ascii="Arial" w:hAnsi="Arial" w:cs="Arial"/>
          <w:sz w:val="24"/>
          <w:szCs w:val="24"/>
        </w:rPr>
        <w:t>al results and observation</w:t>
      </w:r>
      <w:r w:rsidR="001C2EAF" w:rsidRPr="00316F1A">
        <w:rPr>
          <w:rFonts w:ascii="Arial" w:hAnsi="Arial" w:cs="Arial"/>
          <w:sz w:val="24"/>
          <w:szCs w:val="24"/>
        </w:rPr>
        <w:t xml:space="preserve">s </w:t>
      </w:r>
      <w:r w:rsidR="00860D1E" w:rsidRPr="00316F1A">
        <w:rPr>
          <w:rFonts w:ascii="Arial" w:hAnsi="Arial" w:cs="Arial"/>
          <w:sz w:val="24"/>
          <w:szCs w:val="24"/>
        </w:rPr>
        <w:t>indicate that</w:t>
      </w:r>
      <w:r w:rsidR="001C2EAF" w:rsidRPr="00316F1A">
        <w:rPr>
          <w:rFonts w:ascii="Arial" w:hAnsi="Arial" w:cs="Arial"/>
          <w:sz w:val="24"/>
          <w:szCs w:val="24"/>
        </w:rPr>
        <w:t xml:space="preserve"> the anode</w:t>
      </w:r>
      <w:r w:rsidR="00860D1E" w:rsidRPr="00316F1A">
        <w:rPr>
          <w:rFonts w:ascii="Arial" w:hAnsi="Arial" w:cs="Arial"/>
          <w:sz w:val="24"/>
          <w:szCs w:val="24"/>
        </w:rPr>
        <w:t>s</w:t>
      </w:r>
      <w:r w:rsidR="001C2EAF" w:rsidRPr="00316F1A">
        <w:rPr>
          <w:rFonts w:ascii="Arial" w:hAnsi="Arial" w:cs="Arial"/>
          <w:sz w:val="24"/>
          <w:szCs w:val="24"/>
        </w:rPr>
        <w:t xml:space="preserve"> with excellent short term </w:t>
      </w:r>
      <w:r w:rsidR="002B74ED">
        <w:rPr>
          <w:rFonts w:ascii="Arial" w:hAnsi="Arial" w:cs="Arial"/>
          <w:sz w:val="24"/>
          <w:szCs w:val="24"/>
        </w:rPr>
        <w:t>performance tend to degrade quickly</w:t>
      </w:r>
      <w:r w:rsidR="001C2EAF" w:rsidRPr="00316F1A">
        <w:rPr>
          <w:rFonts w:ascii="Arial" w:hAnsi="Arial" w:cs="Arial"/>
          <w:sz w:val="24"/>
          <w:szCs w:val="24"/>
        </w:rPr>
        <w:t xml:space="preserve">. Therefore simulation </w:t>
      </w:r>
      <w:r w:rsidR="00533595">
        <w:rPr>
          <w:rFonts w:ascii="Arial" w:hAnsi="Arial" w:cs="Arial"/>
          <w:sz w:val="24"/>
          <w:szCs w:val="24"/>
        </w:rPr>
        <w:t>is</w:t>
      </w:r>
      <w:r w:rsidR="001C2EAF" w:rsidRPr="00316F1A">
        <w:rPr>
          <w:rFonts w:ascii="Arial" w:hAnsi="Arial" w:cs="Arial"/>
          <w:sz w:val="24"/>
          <w:szCs w:val="24"/>
        </w:rPr>
        <w:t xml:space="preserve"> able to play an important role in </w:t>
      </w:r>
      <w:r w:rsidR="00860D1E" w:rsidRPr="00316F1A">
        <w:rPr>
          <w:rFonts w:ascii="Arial" w:hAnsi="Arial" w:cs="Arial"/>
          <w:sz w:val="24"/>
          <w:szCs w:val="24"/>
        </w:rPr>
        <w:t xml:space="preserve">developing novel anode materials for </w:t>
      </w:r>
      <w:r w:rsidR="001C2EAF" w:rsidRPr="00316F1A">
        <w:rPr>
          <w:rFonts w:ascii="Arial" w:hAnsi="Arial" w:cs="Arial"/>
          <w:sz w:val="24"/>
          <w:szCs w:val="24"/>
        </w:rPr>
        <w:t xml:space="preserve">high performance </w:t>
      </w:r>
      <w:r w:rsidR="00860D1E" w:rsidRPr="00316F1A">
        <w:rPr>
          <w:rFonts w:ascii="Arial" w:hAnsi="Arial" w:cs="Arial"/>
          <w:sz w:val="24"/>
          <w:szCs w:val="24"/>
        </w:rPr>
        <w:t xml:space="preserve">and low cost </w:t>
      </w:r>
      <w:r w:rsidR="00622A90">
        <w:rPr>
          <w:rFonts w:ascii="Arial" w:hAnsi="Arial" w:cs="Arial"/>
          <w:sz w:val="24"/>
          <w:szCs w:val="24"/>
        </w:rPr>
        <w:t xml:space="preserve">durable </w:t>
      </w:r>
      <w:r w:rsidR="00860D1E" w:rsidRPr="00316F1A">
        <w:rPr>
          <w:rFonts w:ascii="Arial" w:hAnsi="Arial" w:cs="Arial"/>
          <w:sz w:val="24"/>
          <w:szCs w:val="24"/>
        </w:rPr>
        <w:t>SOFCs.</w:t>
      </w:r>
    </w:p>
    <w:p w:rsidR="005B02EF" w:rsidRDefault="00860D1E">
      <w:pPr>
        <w:rPr>
          <w:rFonts w:ascii="Arial" w:hAnsi="Arial" w:cs="Arial"/>
          <w:sz w:val="24"/>
          <w:szCs w:val="24"/>
        </w:rPr>
      </w:pPr>
      <w:r w:rsidRPr="00316F1A">
        <w:rPr>
          <w:rFonts w:ascii="Arial" w:hAnsi="Arial" w:cs="Arial"/>
          <w:sz w:val="24"/>
          <w:szCs w:val="24"/>
        </w:rPr>
        <w:t>In the current work, we use a hybrid Cellular Automata</w:t>
      </w:r>
      <w:r w:rsidR="00622A90">
        <w:rPr>
          <w:rFonts w:ascii="Arial" w:hAnsi="Arial" w:cs="Arial"/>
          <w:sz w:val="24"/>
          <w:szCs w:val="24"/>
        </w:rPr>
        <w:t xml:space="preserve"> – Monte Carlo</w:t>
      </w:r>
      <w:r w:rsidRPr="00316F1A">
        <w:rPr>
          <w:rFonts w:ascii="Arial" w:hAnsi="Arial" w:cs="Arial"/>
          <w:sz w:val="24"/>
          <w:szCs w:val="24"/>
        </w:rPr>
        <w:t xml:space="preserve"> approach</w:t>
      </w:r>
      <w:r w:rsidR="00622A90">
        <w:rPr>
          <w:rFonts w:ascii="Arial" w:hAnsi="Arial" w:cs="Arial"/>
          <w:sz w:val="24"/>
          <w:szCs w:val="24"/>
        </w:rPr>
        <w:t xml:space="preserve"> </w:t>
      </w:r>
      <w:r w:rsidR="005B02EF">
        <w:rPr>
          <w:rFonts w:ascii="Arial" w:hAnsi="Arial" w:cs="Arial"/>
          <w:sz w:val="24"/>
          <w:szCs w:val="24"/>
        </w:rPr>
        <w:fldChar w:fldCharType="begin"/>
      </w:r>
      <w:r w:rsidR="005B02EF">
        <w:rPr>
          <w:rFonts w:ascii="Arial" w:hAnsi="Arial" w:cs="Arial"/>
          <w:sz w:val="24"/>
          <w:szCs w:val="24"/>
        </w:rPr>
        <w:instrText xml:space="preserve"> ADDIN EN.CITE &lt;EndNote&gt;&lt;Cite&gt;&lt;Author&gt;Wang&lt;/Author&gt;&lt;Year&gt;2014&lt;/Year&gt;&lt;RecNum&gt;6&lt;/RecNum&gt;&lt;DisplayText&gt;[2]&lt;/DisplayText&gt;&lt;record&gt;&lt;rec-number&gt;6&lt;/rec-number&gt;&lt;foreign-keys&gt;&lt;key app="EN" db-id="trxt22atnpds2cedrtlv5zv2pes2t0et09av" timestamp="1400757441"&gt;6&lt;/key&gt;&lt;key app="ENWeb" db-id=""&gt;0&lt;/key&gt;&lt;/foreign-keys&gt;&lt;ref-type name="Journal Article"&gt;17&lt;/ref-type&gt;&lt;contributors&gt;&lt;authors&gt;&lt;author&gt;Wang, X.&lt;/author&gt;&lt;author&gt;Atkinson, A.&lt;/author&gt;&lt;/authors&gt;&lt;/contributors&gt;&lt;titles&gt;&lt;title&gt;Modeling Microstructure Evolution of Ni Cermet Using a Cellular Automaton Approach&lt;/title&gt;&lt;secondary-title&gt;Journal of the Electrochemical Society&lt;/secondary-title&gt;&lt;/titles&gt;&lt;periodical&gt;&lt;full-title&gt;Journal of the Electrochemical Society&lt;/full-title&gt;&lt;/periodical&gt;&lt;pages&gt;F605-F614&lt;/pages&gt;&lt;volume&gt;161&lt;/volume&gt;&lt;number&gt;5&lt;/number&gt;&lt;dates&gt;&lt;year&gt;2014&lt;/year&gt;&lt;/dates&gt;&lt;isbn&gt;0013-4651&amp;#xD;1945-7111&lt;/isbn&gt;&lt;urls&gt;&lt;/urls&gt;&lt;electronic-resource-num&gt;10.1149/2.037405jes&lt;/electronic-resource-num&gt;&lt;/record&gt;&lt;/Cite&gt;&lt;/EndNote&gt;</w:instrText>
      </w:r>
      <w:r w:rsidR="005B02EF">
        <w:rPr>
          <w:rFonts w:ascii="Arial" w:hAnsi="Arial" w:cs="Arial"/>
          <w:sz w:val="24"/>
          <w:szCs w:val="24"/>
        </w:rPr>
        <w:fldChar w:fldCharType="separate"/>
      </w:r>
      <w:r w:rsidR="005B02EF">
        <w:rPr>
          <w:rFonts w:ascii="Arial" w:hAnsi="Arial" w:cs="Arial"/>
          <w:noProof/>
          <w:sz w:val="24"/>
          <w:szCs w:val="24"/>
        </w:rPr>
        <w:t>[2]</w:t>
      </w:r>
      <w:r w:rsidR="005B02EF">
        <w:rPr>
          <w:rFonts w:ascii="Arial" w:hAnsi="Arial" w:cs="Arial"/>
          <w:sz w:val="24"/>
          <w:szCs w:val="24"/>
        </w:rPr>
        <w:fldChar w:fldCharType="end"/>
      </w:r>
      <w:r w:rsidRPr="00316F1A">
        <w:rPr>
          <w:rFonts w:ascii="Arial" w:hAnsi="Arial" w:cs="Arial"/>
          <w:sz w:val="24"/>
          <w:szCs w:val="24"/>
        </w:rPr>
        <w:t xml:space="preserve"> to simulate the microstructure evolution of Ni cermet</w:t>
      </w:r>
      <w:r w:rsidR="00622A90">
        <w:rPr>
          <w:rFonts w:ascii="Arial" w:hAnsi="Arial" w:cs="Arial"/>
          <w:sz w:val="24"/>
          <w:szCs w:val="24"/>
        </w:rPr>
        <w:t>s</w:t>
      </w:r>
      <w:r w:rsidR="00E324D6" w:rsidRPr="00316F1A">
        <w:rPr>
          <w:rFonts w:ascii="Arial" w:hAnsi="Arial" w:cs="Arial"/>
          <w:sz w:val="24"/>
          <w:szCs w:val="24"/>
        </w:rPr>
        <w:t xml:space="preserve"> at operation temperatures. The degradation rate of anode</w:t>
      </w:r>
      <w:r w:rsidR="00533595">
        <w:rPr>
          <w:rFonts w:ascii="Arial" w:hAnsi="Arial" w:cs="Arial"/>
          <w:sz w:val="24"/>
          <w:szCs w:val="24"/>
        </w:rPr>
        <w:t xml:space="preserve"> (in terms of triple phase boundary density change) </w:t>
      </w:r>
      <w:r w:rsidR="00E324D6" w:rsidRPr="00316F1A">
        <w:rPr>
          <w:rFonts w:ascii="Arial" w:hAnsi="Arial" w:cs="Arial"/>
          <w:sz w:val="24"/>
          <w:szCs w:val="24"/>
        </w:rPr>
        <w:t xml:space="preserve">is </w:t>
      </w:r>
      <w:r w:rsidR="00544965">
        <w:rPr>
          <w:rFonts w:ascii="Arial" w:hAnsi="Arial" w:cs="Arial"/>
          <w:sz w:val="24"/>
          <w:szCs w:val="24"/>
        </w:rPr>
        <w:t xml:space="preserve">found to be </w:t>
      </w:r>
      <w:r w:rsidR="00E324D6" w:rsidRPr="00316F1A">
        <w:rPr>
          <w:rFonts w:ascii="Arial" w:hAnsi="Arial" w:cs="Arial"/>
          <w:sz w:val="24"/>
          <w:szCs w:val="24"/>
        </w:rPr>
        <w:t>related to the initial microstructure</w:t>
      </w:r>
      <w:r w:rsidR="00533595">
        <w:rPr>
          <w:rFonts w:ascii="Arial" w:hAnsi="Arial" w:cs="Arial"/>
          <w:sz w:val="24"/>
          <w:szCs w:val="24"/>
        </w:rPr>
        <w:t xml:space="preserve"> (e</w:t>
      </w:r>
      <w:r w:rsidR="00622A90">
        <w:rPr>
          <w:rFonts w:ascii="Arial" w:hAnsi="Arial" w:cs="Arial"/>
          <w:sz w:val="24"/>
          <w:szCs w:val="24"/>
        </w:rPr>
        <w:t>.g.</w:t>
      </w:r>
      <w:r w:rsidR="00533595">
        <w:rPr>
          <w:rFonts w:ascii="Arial" w:hAnsi="Arial" w:cs="Arial"/>
          <w:sz w:val="24"/>
          <w:szCs w:val="24"/>
        </w:rPr>
        <w:t xml:space="preserve"> particle size and size ratio and size distribution</w:t>
      </w:r>
      <w:r w:rsidR="00E324D6" w:rsidRPr="00316F1A">
        <w:rPr>
          <w:rFonts w:ascii="Arial" w:hAnsi="Arial" w:cs="Arial"/>
          <w:sz w:val="24"/>
          <w:szCs w:val="24"/>
        </w:rPr>
        <w:t xml:space="preserve">), phase wettability and phase volume ratio. </w:t>
      </w:r>
      <w:r w:rsidR="00533595">
        <w:rPr>
          <w:rFonts w:ascii="Arial" w:hAnsi="Arial" w:cs="Arial"/>
          <w:sz w:val="24"/>
          <w:szCs w:val="24"/>
        </w:rPr>
        <w:t>This has provided</w:t>
      </w:r>
      <w:r w:rsidR="00E324D6" w:rsidRPr="00316F1A">
        <w:rPr>
          <w:rFonts w:ascii="Arial" w:hAnsi="Arial" w:cs="Arial"/>
          <w:sz w:val="24"/>
          <w:szCs w:val="24"/>
        </w:rPr>
        <w:t xml:space="preserve"> better understanding of the </w:t>
      </w:r>
      <w:r w:rsidR="007F5156">
        <w:rPr>
          <w:rFonts w:ascii="Arial" w:hAnsi="Arial" w:cs="Arial"/>
          <w:sz w:val="24"/>
          <w:szCs w:val="24"/>
        </w:rPr>
        <w:t xml:space="preserve">performance </w:t>
      </w:r>
      <w:r w:rsidR="00E324D6" w:rsidRPr="00316F1A">
        <w:rPr>
          <w:rFonts w:ascii="Arial" w:hAnsi="Arial" w:cs="Arial"/>
          <w:sz w:val="24"/>
          <w:szCs w:val="24"/>
        </w:rPr>
        <w:t xml:space="preserve">degradation </w:t>
      </w:r>
      <w:r w:rsidR="007F5156">
        <w:rPr>
          <w:rFonts w:ascii="Arial" w:hAnsi="Arial" w:cs="Arial"/>
          <w:sz w:val="24"/>
          <w:szCs w:val="24"/>
        </w:rPr>
        <w:t xml:space="preserve">of </w:t>
      </w:r>
      <w:r w:rsidR="00622A90">
        <w:rPr>
          <w:rFonts w:ascii="Arial" w:hAnsi="Arial" w:cs="Arial"/>
          <w:sz w:val="24"/>
          <w:szCs w:val="24"/>
        </w:rPr>
        <w:t>this type of anode material</w:t>
      </w:r>
      <w:r w:rsidR="007F5156">
        <w:rPr>
          <w:rFonts w:ascii="Arial" w:hAnsi="Arial" w:cs="Arial"/>
          <w:sz w:val="24"/>
          <w:szCs w:val="24"/>
        </w:rPr>
        <w:t xml:space="preserve">, which also </w:t>
      </w:r>
      <w:r w:rsidR="00DC08AA" w:rsidRPr="00316F1A">
        <w:rPr>
          <w:rFonts w:ascii="Arial" w:hAnsi="Arial" w:cs="Arial"/>
          <w:sz w:val="24"/>
          <w:szCs w:val="24"/>
        </w:rPr>
        <w:t>provide</w:t>
      </w:r>
      <w:r w:rsidR="007F5156">
        <w:rPr>
          <w:rFonts w:ascii="Arial" w:hAnsi="Arial" w:cs="Arial"/>
          <w:sz w:val="24"/>
          <w:szCs w:val="24"/>
        </w:rPr>
        <w:t>s</w:t>
      </w:r>
      <w:r w:rsidR="00DC08AA" w:rsidRPr="00316F1A">
        <w:rPr>
          <w:rFonts w:ascii="Arial" w:hAnsi="Arial" w:cs="Arial"/>
          <w:sz w:val="24"/>
          <w:szCs w:val="24"/>
        </w:rPr>
        <w:t xml:space="preserve"> practical guidance </w:t>
      </w:r>
      <w:r w:rsidR="007F5156">
        <w:rPr>
          <w:rFonts w:ascii="Arial" w:hAnsi="Arial" w:cs="Arial"/>
          <w:sz w:val="24"/>
          <w:szCs w:val="24"/>
        </w:rPr>
        <w:t>to</w:t>
      </w:r>
      <w:r w:rsidR="00DC08AA" w:rsidRPr="00316F1A">
        <w:rPr>
          <w:rFonts w:ascii="Arial" w:hAnsi="Arial" w:cs="Arial"/>
          <w:sz w:val="24"/>
          <w:szCs w:val="24"/>
        </w:rPr>
        <w:t xml:space="preserve"> the design of anode</w:t>
      </w:r>
      <w:r w:rsidR="00622A90">
        <w:rPr>
          <w:rFonts w:ascii="Arial" w:hAnsi="Arial" w:cs="Arial"/>
          <w:sz w:val="24"/>
          <w:szCs w:val="24"/>
        </w:rPr>
        <w:t>s</w:t>
      </w:r>
      <w:r w:rsidR="00DC08AA" w:rsidRPr="00316F1A">
        <w:rPr>
          <w:rFonts w:ascii="Arial" w:hAnsi="Arial" w:cs="Arial"/>
          <w:sz w:val="24"/>
          <w:szCs w:val="24"/>
        </w:rPr>
        <w:t xml:space="preserve"> with </w:t>
      </w:r>
      <w:r w:rsidR="00622A90">
        <w:rPr>
          <w:rFonts w:ascii="Arial" w:hAnsi="Arial" w:cs="Arial"/>
          <w:sz w:val="24"/>
          <w:szCs w:val="24"/>
        </w:rPr>
        <w:t xml:space="preserve">an </w:t>
      </w:r>
      <w:bookmarkStart w:id="0" w:name="_GoBack"/>
      <w:bookmarkEnd w:id="0"/>
      <w:r w:rsidR="00544965">
        <w:rPr>
          <w:rFonts w:ascii="Arial" w:hAnsi="Arial" w:cs="Arial"/>
          <w:sz w:val="24"/>
          <w:szCs w:val="24"/>
        </w:rPr>
        <w:t xml:space="preserve">optimised microstructure which </w:t>
      </w:r>
      <w:r w:rsidR="00705C4E">
        <w:rPr>
          <w:rFonts w:ascii="Arial" w:hAnsi="Arial" w:cs="Arial"/>
          <w:sz w:val="24"/>
          <w:szCs w:val="24"/>
        </w:rPr>
        <w:t>affords best</w:t>
      </w:r>
      <w:r w:rsidR="00544965">
        <w:rPr>
          <w:rFonts w:ascii="Arial" w:hAnsi="Arial" w:cs="Arial"/>
          <w:sz w:val="24"/>
          <w:szCs w:val="24"/>
        </w:rPr>
        <w:t xml:space="preserve"> </w:t>
      </w:r>
      <w:r w:rsidR="00DC08AA" w:rsidRPr="00316F1A">
        <w:rPr>
          <w:rFonts w:ascii="Arial" w:hAnsi="Arial" w:cs="Arial"/>
          <w:sz w:val="24"/>
          <w:szCs w:val="24"/>
        </w:rPr>
        <w:t>long term performa</w:t>
      </w:r>
      <w:r w:rsidR="00316F1A" w:rsidRPr="00316F1A">
        <w:rPr>
          <w:rFonts w:ascii="Arial" w:hAnsi="Arial" w:cs="Arial"/>
          <w:sz w:val="24"/>
          <w:szCs w:val="24"/>
        </w:rPr>
        <w:t>n</w:t>
      </w:r>
      <w:r w:rsidR="00DC08AA" w:rsidRPr="00316F1A">
        <w:rPr>
          <w:rFonts w:ascii="Arial" w:hAnsi="Arial" w:cs="Arial"/>
          <w:sz w:val="24"/>
          <w:szCs w:val="24"/>
        </w:rPr>
        <w:t xml:space="preserve">ce. </w:t>
      </w:r>
    </w:p>
    <w:p w:rsidR="005B02EF" w:rsidRDefault="005B02EF">
      <w:pPr>
        <w:rPr>
          <w:rFonts w:ascii="Arial" w:hAnsi="Arial" w:cs="Arial"/>
          <w:sz w:val="24"/>
          <w:szCs w:val="24"/>
        </w:rPr>
      </w:pPr>
    </w:p>
    <w:p w:rsidR="005B02EF" w:rsidRPr="005B02EF" w:rsidRDefault="005B02EF" w:rsidP="005B02EF">
      <w:pPr>
        <w:pStyle w:val="EndNoteBibliography"/>
        <w:spacing w:after="0"/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ADDIN EN.REFLIST </w:instrText>
      </w:r>
      <w:r>
        <w:rPr>
          <w:rFonts w:ascii="Arial" w:hAnsi="Arial" w:cs="Arial"/>
          <w:sz w:val="24"/>
          <w:szCs w:val="24"/>
        </w:rPr>
        <w:fldChar w:fldCharType="separate"/>
      </w:r>
      <w:r w:rsidRPr="005B02EF">
        <w:t>[1]</w:t>
      </w:r>
      <w:r w:rsidRPr="005B02EF">
        <w:tab/>
        <w:t>A. Atkinson, S. Barnett, R.J. Gorte, J.T.S. Irvine, A.J. McEvoy, M. Mogensen, S.C. Singhal, J. Vohs, Advanced anodes for high-temperature fuel cells. Nature Materials 2004;3:17.</w:t>
      </w:r>
    </w:p>
    <w:p w:rsidR="005B02EF" w:rsidRPr="005B02EF" w:rsidRDefault="005B02EF" w:rsidP="005B02EF">
      <w:pPr>
        <w:pStyle w:val="EndNoteBibliography"/>
      </w:pPr>
      <w:r w:rsidRPr="005B02EF">
        <w:t>[2]</w:t>
      </w:r>
      <w:r w:rsidRPr="005B02EF">
        <w:tab/>
        <w:t>X. Wang, A. Atkinson, Modeling Microstructure Evolution of Ni Cermet Using a Cellular Automaton Approach. Journal of the Electrochemical Society 2014;161:F605-F614.</w:t>
      </w:r>
    </w:p>
    <w:p w:rsidR="00860D1E" w:rsidRPr="00316F1A" w:rsidRDefault="005B02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end"/>
      </w:r>
    </w:p>
    <w:sectPr w:rsidR="00860D1E" w:rsidRPr="00316F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ta_Materiali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aa0xpfpbxdes6edxe5ps50jfefr2ptefvts&quot;&gt;anode 2018&lt;record-ids&gt;&lt;item&gt;105&lt;/item&gt;&lt;/record-ids&gt;&lt;/item&gt;&lt;item db-id=&quot;trxt22atnpds2cedrtlv5zv2pes2t0et09av&quot;&gt;publishedpaper&lt;record-ids&gt;&lt;item&gt;6&lt;/item&gt;&lt;/record-ids&gt;&lt;/item&gt;&lt;/Libraries&gt;"/>
  </w:docVars>
  <w:rsids>
    <w:rsidRoot w:val="00C85449"/>
    <w:rsid w:val="001C2EAF"/>
    <w:rsid w:val="002B74ED"/>
    <w:rsid w:val="00316F1A"/>
    <w:rsid w:val="003E3972"/>
    <w:rsid w:val="00533595"/>
    <w:rsid w:val="00544965"/>
    <w:rsid w:val="005B02EF"/>
    <w:rsid w:val="00622A90"/>
    <w:rsid w:val="006A769F"/>
    <w:rsid w:val="00705C4E"/>
    <w:rsid w:val="007F5156"/>
    <w:rsid w:val="00860D1E"/>
    <w:rsid w:val="00A31A0C"/>
    <w:rsid w:val="00B42070"/>
    <w:rsid w:val="00C85449"/>
    <w:rsid w:val="00DC08AA"/>
    <w:rsid w:val="00E3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34C33B-7147-4200-A4A9-14272B5A1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5B02EF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B02EF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B02EF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B02EF"/>
    <w:rPr>
      <w:rFonts w:ascii="Calibri" w:hAnsi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4343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Xin</dc:creator>
  <cp:keywords/>
  <dc:description/>
  <cp:lastModifiedBy>Atkinson, Alan</cp:lastModifiedBy>
  <cp:revision>3</cp:revision>
  <dcterms:created xsi:type="dcterms:W3CDTF">2018-04-03T14:47:00Z</dcterms:created>
  <dcterms:modified xsi:type="dcterms:W3CDTF">2018-04-03T14:51:00Z</dcterms:modified>
</cp:coreProperties>
</file>