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192A" w:rsidRPr="00421CEC" w:rsidRDefault="004A192A" w:rsidP="00421CEC">
      <w:pPr>
        <w:autoSpaceDE w:val="0"/>
        <w:autoSpaceDN w:val="0"/>
        <w:adjustRightInd w:val="0"/>
        <w:spacing w:after="120" w:line="240" w:lineRule="auto"/>
        <w:rPr>
          <w:rFonts w:ascii="Arial" w:hAnsi="Arial" w:cs="Arial"/>
          <w:b/>
          <w:bCs/>
          <w:color w:val="000000"/>
          <w:sz w:val="24"/>
          <w:szCs w:val="24"/>
        </w:rPr>
      </w:pPr>
      <w:r w:rsidRPr="00421CEC">
        <w:rPr>
          <w:rFonts w:ascii="Times New Roman" w:hAnsi="Times New Roman" w:cs="Times New Roman"/>
          <w:b/>
          <w:sz w:val="24"/>
          <w:szCs w:val="33"/>
        </w:rPr>
        <w:t xml:space="preserve">Thermal cycling behavior of air plasma sprayed thermal barrier coatings on Inconel X750 alloy with and without TiN modification of ‘bondcoat’. </w:t>
      </w:r>
    </w:p>
    <w:p w:rsidR="004A192A" w:rsidRDefault="004A192A" w:rsidP="004A3413">
      <w:pPr>
        <w:spacing w:after="120" w:line="240" w:lineRule="auto"/>
        <w:rPr>
          <w:rFonts w:ascii="Arial" w:hAnsi="Arial" w:cs="Arial"/>
          <w:sz w:val="24"/>
          <w:szCs w:val="28"/>
        </w:rPr>
      </w:pPr>
      <w:r w:rsidRPr="002B2E65">
        <w:rPr>
          <w:rFonts w:ascii="Arial" w:hAnsi="Arial" w:cs="Arial"/>
          <w:sz w:val="24"/>
          <w:szCs w:val="28"/>
        </w:rPr>
        <w:t xml:space="preserve">Imran </w:t>
      </w:r>
      <w:proofErr w:type="spellStart"/>
      <w:r w:rsidRPr="002B2E65">
        <w:rPr>
          <w:rFonts w:ascii="Arial" w:hAnsi="Arial" w:cs="Arial"/>
          <w:sz w:val="24"/>
          <w:szCs w:val="28"/>
        </w:rPr>
        <w:t>Nazir</w:t>
      </w:r>
      <w:proofErr w:type="spellEnd"/>
      <w:r w:rsidRPr="002B2E65">
        <w:rPr>
          <w:rFonts w:ascii="Arial" w:hAnsi="Arial" w:cs="Arial"/>
          <w:sz w:val="24"/>
          <w:szCs w:val="28"/>
        </w:rPr>
        <w:t xml:space="preserve"> </w:t>
      </w:r>
      <w:proofErr w:type="spellStart"/>
      <w:r w:rsidRPr="002B2E65">
        <w:rPr>
          <w:rFonts w:ascii="Arial" w:hAnsi="Arial" w:cs="Arial"/>
          <w:sz w:val="24"/>
          <w:szCs w:val="28"/>
        </w:rPr>
        <w:t>Qureshi</w:t>
      </w:r>
      <w:r w:rsidRPr="002B2E65">
        <w:rPr>
          <w:rFonts w:ascii="Arial" w:hAnsi="Arial" w:cs="Arial"/>
          <w:sz w:val="24"/>
          <w:szCs w:val="28"/>
          <w:vertAlign w:val="superscript"/>
        </w:rPr>
        <w:t>a</w:t>
      </w:r>
      <w:proofErr w:type="spellEnd"/>
      <w:r w:rsidRPr="002B2E65">
        <w:rPr>
          <w:rFonts w:ascii="Arial" w:hAnsi="Arial" w:cs="Arial"/>
          <w:sz w:val="24"/>
          <w:szCs w:val="28"/>
        </w:rPr>
        <w:t xml:space="preserve">, </w:t>
      </w:r>
      <w:r w:rsidR="00B678C6">
        <w:rPr>
          <w:rFonts w:ascii="Arial" w:hAnsi="Arial" w:cs="Arial"/>
          <w:sz w:val="24"/>
          <w:szCs w:val="28"/>
        </w:rPr>
        <w:t>*</w:t>
      </w:r>
      <w:r w:rsidRPr="002B2E65">
        <w:rPr>
          <w:rFonts w:ascii="Arial" w:hAnsi="Arial" w:cs="Arial"/>
          <w:sz w:val="24"/>
          <w:szCs w:val="28"/>
        </w:rPr>
        <w:t>Muhammad</w:t>
      </w:r>
      <w:r>
        <w:rPr>
          <w:rFonts w:ascii="Arial" w:hAnsi="Arial" w:cs="Arial"/>
          <w:sz w:val="24"/>
          <w:szCs w:val="28"/>
        </w:rPr>
        <w:t xml:space="preserve"> </w:t>
      </w:r>
      <w:proofErr w:type="spellStart"/>
      <w:r w:rsidRPr="002B2E65">
        <w:rPr>
          <w:rFonts w:ascii="Arial" w:hAnsi="Arial" w:cs="Arial"/>
          <w:sz w:val="24"/>
          <w:szCs w:val="28"/>
        </w:rPr>
        <w:t>Shahid</w:t>
      </w:r>
      <w:r w:rsidRPr="002B2E65">
        <w:rPr>
          <w:rFonts w:ascii="Arial" w:hAnsi="Arial" w:cs="Arial"/>
          <w:sz w:val="24"/>
          <w:szCs w:val="28"/>
          <w:vertAlign w:val="superscript"/>
        </w:rPr>
        <w:t>a</w:t>
      </w:r>
      <w:proofErr w:type="spellEnd"/>
      <w:r w:rsidRPr="002B2E65">
        <w:rPr>
          <w:rFonts w:ascii="Arial" w:hAnsi="Arial" w:cs="Arial"/>
          <w:sz w:val="24"/>
          <w:szCs w:val="28"/>
        </w:rPr>
        <w:t xml:space="preserve">, </w:t>
      </w:r>
      <w:proofErr w:type="spellStart"/>
      <w:r w:rsidRPr="002B2E65">
        <w:rPr>
          <w:rFonts w:ascii="Arial" w:hAnsi="Arial" w:cs="Arial"/>
          <w:sz w:val="24"/>
          <w:szCs w:val="28"/>
        </w:rPr>
        <w:t>A.Nusair</w:t>
      </w:r>
      <w:proofErr w:type="spellEnd"/>
      <w:r>
        <w:rPr>
          <w:rFonts w:ascii="Arial" w:hAnsi="Arial" w:cs="Arial"/>
          <w:sz w:val="24"/>
          <w:szCs w:val="28"/>
        </w:rPr>
        <w:t xml:space="preserve"> </w:t>
      </w:r>
      <w:proofErr w:type="spellStart"/>
      <w:r w:rsidRPr="002B2E65">
        <w:rPr>
          <w:rFonts w:ascii="Arial" w:hAnsi="Arial" w:cs="Arial"/>
          <w:sz w:val="24"/>
          <w:szCs w:val="28"/>
        </w:rPr>
        <w:t>Khan</w:t>
      </w:r>
      <w:r w:rsidRPr="002B2E65">
        <w:rPr>
          <w:rFonts w:ascii="Arial" w:hAnsi="Arial" w:cs="Arial"/>
          <w:sz w:val="24"/>
          <w:szCs w:val="28"/>
          <w:vertAlign w:val="superscript"/>
        </w:rPr>
        <w:t>b</w:t>
      </w:r>
      <w:proofErr w:type="spellEnd"/>
    </w:p>
    <w:p w:rsidR="004A192A" w:rsidRPr="00421CEC" w:rsidRDefault="004A192A" w:rsidP="004A3413">
      <w:pPr>
        <w:spacing w:after="120" w:line="240" w:lineRule="auto"/>
        <w:rPr>
          <w:rFonts w:ascii="Arial" w:hAnsi="Arial" w:cs="Arial"/>
          <w:i/>
          <w:sz w:val="24"/>
          <w:szCs w:val="28"/>
        </w:rPr>
      </w:pPr>
      <w:proofErr w:type="spellStart"/>
      <w:proofErr w:type="gramStart"/>
      <w:r w:rsidRPr="00421CEC">
        <w:rPr>
          <w:rFonts w:ascii="Arial" w:hAnsi="Arial" w:cs="Arial"/>
          <w:i/>
          <w:sz w:val="24"/>
          <w:szCs w:val="28"/>
          <w:vertAlign w:val="superscript"/>
        </w:rPr>
        <w:t>a</w:t>
      </w:r>
      <w:r w:rsidRPr="00421CEC">
        <w:rPr>
          <w:rFonts w:ascii="Arial" w:hAnsi="Arial" w:cs="Arial"/>
          <w:i/>
          <w:sz w:val="24"/>
          <w:szCs w:val="28"/>
        </w:rPr>
        <w:t>School</w:t>
      </w:r>
      <w:proofErr w:type="spellEnd"/>
      <w:proofErr w:type="gramEnd"/>
      <w:r w:rsidRPr="00421CEC">
        <w:rPr>
          <w:rFonts w:ascii="Arial" w:hAnsi="Arial" w:cs="Arial"/>
          <w:i/>
          <w:sz w:val="24"/>
          <w:szCs w:val="28"/>
        </w:rPr>
        <w:t xml:space="preserve"> of Chemical and Materials Engineering,</w:t>
      </w:r>
      <w:r w:rsidR="00A72E89" w:rsidRPr="00421CEC">
        <w:rPr>
          <w:rFonts w:ascii="Arial" w:hAnsi="Arial" w:cs="Arial"/>
          <w:i/>
          <w:sz w:val="24"/>
          <w:szCs w:val="28"/>
        </w:rPr>
        <w:t xml:space="preserve"> </w:t>
      </w:r>
      <w:r w:rsidRPr="00421CEC">
        <w:rPr>
          <w:rFonts w:ascii="Arial" w:hAnsi="Arial" w:cs="Arial"/>
          <w:i/>
          <w:sz w:val="24"/>
          <w:szCs w:val="28"/>
        </w:rPr>
        <w:t>National University of Sciences and Technology, Islamabad, Pakistan</w:t>
      </w:r>
    </w:p>
    <w:p w:rsidR="004A192A" w:rsidRPr="00421CEC" w:rsidRDefault="004A192A" w:rsidP="004A3413">
      <w:pPr>
        <w:spacing w:after="120" w:line="240" w:lineRule="auto"/>
        <w:rPr>
          <w:rFonts w:ascii="Arial" w:hAnsi="Arial" w:cs="Arial"/>
          <w:i/>
          <w:sz w:val="24"/>
          <w:szCs w:val="28"/>
        </w:rPr>
      </w:pPr>
      <w:proofErr w:type="spellStart"/>
      <w:proofErr w:type="gramStart"/>
      <w:r w:rsidRPr="00421CEC">
        <w:rPr>
          <w:rFonts w:ascii="Arial" w:hAnsi="Arial" w:cs="Arial"/>
          <w:i/>
          <w:sz w:val="24"/>
          <w:szCs w:val="28"/>
          <w:vertAlign w:val="superscript"/>
        </w:rPr>
        <w:t>b</w:t>
      </w:r>
      <w:r w:rsidRPr="00421CEC">
        <w:rPr>
          <w:rFonts w:ascii="Arial" w:hAnsi="Arial" w:cs="Arial"/>
          <w:i/>
          <w:sz w:val="24"/>
          <w:szCs w:val="28"/>
        </w:rPr>
        <w:t>Institute</w:t>
      </w:r>
      <w:proofErr w:type="spellEnd"/>
      <w:proofErr w:type="gramEnd"/>
      <w:r w:rsidRPr="00421CEC">
        <w:rPr>
          <w:rFonts w:ascii="Arial" w:hAnsi="Arial" w:cs="Arial"/>
          <w:i/>
          <w:sz w:val="24"/>
          <w:szCs w:val="28"/>
        </w:rPr>
        <w:t xml:space="preserve"> of Industrial and Control System, Rawalpindi, Pakistan </w:t>
      </w:r>
    </w:p>
    <w:p w:rsidR="004A3413" w:rsidRDefault="004A3413" w:rsidP="004A192A">
      <w:pPr>
        <w:autoSpaceDE w:val="0"/>
        <w:autoSpaceDN w:val="0"/>
        <w:adjustRightInd w:val="0"/>
        <w:spacing w:after="120" w:line="360" w:lineRule="auto"/>
        <w:jc w:val="both"/>
        <w:rPr>
          <w:rFonts w:ascii="Arial" w:hAnsi="Arial" w:cs="Arial"/>
          <w:b/>
          <w:bCs/>
          <w:color w:val="000000"/>
          <w:sz w:val="24"/>
          <w:szCs w:val="24"/>
        </w:rPr>
        <w:sectPr w:rsidR="004A3413">
          <w:pgSz w:w="12240" w:h="15840"/>
          <w:pgMar w:top="1440" w:right="1440" w:bottom="1440" w:left="1440" w:header="720" w:footer="720" w:gutter="0"/>
          <w:cols w:space="720"/>
          <w:docGrid w:linePitch="360"/>
        </w:sectPr>
      </w:pPr>
    </w:p>
    <w:p w:rsidR="004A192A" w:rsidRDefault="004A192A" w:rsidP="004A192A">
      <w:pPr>
        <w:autoSpaceDE w:val="0"/>
        <w:autoSpaceDN w:val="0"/>
        <w:adjustRightInd w:val="0"/>
        <w:spacing w:after="120" w:line="360" w:lineRule="auto"/>
        <w:jc w:val="both"/>
        <w:rPr>
          <w:rFonts w:ascii="Arial" w:hAnsi="Arial" w:cs="Arial"/>
          <w:b/>
          <w:bCs/>
          <w:color w:val="000000"/>
          <w:sz w:val="24"/>
          <w:szCs w:val="24"/>
        </w:rPr>
      </w:pPr>
      <w:r>
        <w:rPr>
          <w:rFonts w:ascii="Arial" w:hAnsi="Arial" w:cs="Arial"/>
          <w:b/>
          <w:bCs/>
          <w:color w:val="000000"/>
          <w:sz w:val="24"/>
          <w:szCs w:val="24"/>
        </w:rPr>
        <w:lastRenderedPageBreak/>
        <w:t>Abstract</w:t>
      </w:r>
    </w:p>
    <w:p w:rsidR="004A192A" w:rsidRPr="0074405B" w:rsidRDefault="004A192A" w:rsidP="00421CEC">
      <w:pPr>
        <w:autoSpaceDE w:val="0"/>
        <w:autoSpaceDN w:val="0"/>
        <w:adjustRightInd w:val="0"/>
        <w:spacing w:after="120" w:line="276" w:lineRule="auto"/>
        <w:jc w:val="both"/>
        <w:rPr>
          <w:rFonts w:ascii="Arial" w:hAnsi="Arial" w:cs="Arial"/>
          <w:sz w:val="24"/>
          <w:szCs w:val="24"/>
        </w:rPr>
      </w:pPr>
      <w:r>
        <w:rPr>
          <w:rFonts w:ascii="Arial" w:hAnsi="Arial" w:cs="Arial"/>
          <w:sz w:val="24"/>
          <w:szCs w:val="24"/>
        </w:rPr>
        <w:t>Coatings meant for high temperature application e.g. gas turbines, require their t</w:t>
      </w:r>
      <w:r w:rsidRPr="007E4D1E">
        <w:rPr>
          <w:rFonts w:ascii="Arial" w:hAnsi="Arial" w:cs="Arial"/>
          <w:sz w:val="24"/>
          <w:szCs w:val="24"/>
        </w:rPr>
        <w:t xml:space="preserve">hermal shock behavior </w:t>
      </w:r>
      <w:r>
        <w:rPr>
          <w:rFonts w:ascii="Arial" w:hAnsi="Arial" w:cs="Arial"/>
          <w:sz w:val="24"/>
          <w:szCs w:val="24"/>
        </w:rPr>
        <w:t xml:space="preserve">to be investigated before they are exposed to real time environment. </w:t>
      </w:r>
      <w:r w:rsidRPr="007E4D1E">
        <w:rPr>
          <w:rFonts w:ascii="Arial" w:hAnsi="Arial" w:cs="Arial"/>
          <w:sz w:val="24"/>
          <w:szCs w:val="24"/>
        </w:rPr>
        <w:t xml:space="preserve">Many researches have </w:t>
      </w:r>
      <w:r>
        <w:rPr>
          <w:rFonts w:ascii="Arial" w:hAnsi="Arial" w:cs="Arial"/>
          <w:sz w:val="24"/>
          <w:szCs w:val="24"/>
        </w:rPr>
        <w:t>demonstrated</w:t>
      </w:r>
      <w:r w:rsidRPr="007E4D1E">
        <w:rPr>
          <w:rFonts w:ascii="Arial" w:hAnsi="Arial" w:cs="Arial"/>
          <w:sz w:val="24"/>
          <w:szCs w:val="24"/>
        </w:rPr>
        <w:t xml:space="preserve"> that thermal shock resistance of partially stabilized zirconia coatings mainly depends on heatin</w:t>
      </w:r>
      <w:r>
        <w:rPr>
          <w:rFonts w:ascii="Arial" w:hAnsi="Arial" w:cs="Arial"/>
          <w:sz w:val="24"/>
          <w:szCs w:val="24"/>
        </w:rPr>
        <w:t>g conditions and the microstructure of the alloy</w:t>
      </w:r>
      <w:r w:rsidRPr="007E4D1E">
        <w:rPr>
          <w:rFonts w:ascii="Arial" w:hAnsi="Arial" w:cs="Arial"/>
          <w:sz w:val="24"/>
          <w:szCs w:val="24"/>
        </w:rPr>
        <w:t xml:space="preserve">. </w:t>
      </w:r>
      <w:r w:rsidRPr="00951B1B">
        <w:rPr>
          <w:rFonts w:ascii="Arial" w:hAnsi="Arial" w:cs="Arial"/>
          <w:sz w:val="24"/>
          <w:szCs w:val="24"/>
        </w:rPr>
        <w:t>In th</w:t>
      </w:r>
      <w:r>
        <w:rPr>
          <w:rFonts w:ascii="Arial" w:hAnsi="Arial" w:cs="Arial"/>
          <w:sz w:val="24"/>
          <w:szCs w:val="24"/>
        </w:rPr>
        <w:t>e current</w:t>
      </w:r>
      <w:r w:rsidRPr="00951B1B">
        <w:rPr>
          <w:rFonts w:ascii="Arial" w:hAnsi="Arial" w:cs="Arial"/>
          <w:sz w:val="24"/>
          <w:szCs w:val="24"/>
        </w:rPr>
        <w:t xml:space="preserve"> study, thermal </w:t>
      </w:r>
      <w:r>
        <w:rPr>
          <w:rFonts w:ascii="Arial" w:hAnsi="Arial" w:cs="Arial"/>
          <w:sz w:val="24"/>
          <w:szCs w:val="24"/>
        </w:rPr>
        <w:t>cycling</w:t>
      </w:r>
      <w:r w:rsidRPr="00951B1B">
        <w:rPr>
          <w:rFonts w:ascii="Arial" w:hAnsi="Arial" w:cs="Arial"/>
          <w:sz w:val="24"/>
          <w:szCs w:val="24"/>
        </w:rPr>
        <w:t xml:space="preserve"> behavior of two</w:t>
      </w:r>
      <w:r>
        <w:rPr>
          <w:rFonts w:ascii="Arial" w:hAnsi="Arial" w:cs="Arial"/>
          <w:sz w:val="24"/>
          <w:szCs w:val="24"/>
        </w:rPr>
        <w:t xml:space="preserve"> types of t</w:t>
      </w:r>
      <w:r w:rsidRPr="00951B1B">
        <w:rPr>
          <w:rFonts w:ascii="Arial" w:hAnsi="Arial" w:cs="Arial"/>
          <w:sz w:val="24"/>
          <w:szCs w:val="24"/>
        </w:rPr>
        <w:t>hermal barrier coating</w:t>
      </w:r>
      <w:r>
        <w:rPr>
          <w:rFonts w:ascii="Arial" w:hAnsi="Arial" w:cs="Arial"/>
          <w:sz w:val="24"/>
          <w:szCs w:val="24"/>
        </w:rPr>
        <w:t>s</w:t>
      </w:r>
      <w:r w:rsidRPr="00951B1B">
        <w:rPr>
          <w:rFonts w:ascii="Arial" w:hAnsi="Arial" w:cs="Arial"/>
          <w:sz w:val="24"/>
          <w:szCs w:val="24"/>
        </w:rPr>
        <w:t xml:space="preserve"> (TBC</w:t>
      </w:r>
      <w:r>
        <w:rPr>
          <w:rFonts w:ascii="Arial" w:hAnsi="Arial" w:cs="Arial"/>
          <w:sz w:val="24"/>
          <w:szCs w:val="24"/>
        </w:rPr>
        <w:t>s</w:t>
      </w:r>
      <w:r w:rsidRPr="00951B1B">
        <w:rPr>
          <w:rFonts w:ascii="Arial" w:hAnsi="Arial" w:cs="Arial"/>
          <w:sz w:val="24"/>
          <w:szCs w:val="24"/>
        </w:rPr>
        <w:t>) produced by air plasma spraying on nickel base</w:t>
      </w:r>
      <w:r>
        <w:rPr>
          <w:rFonts w:ascii="Arial" w:hAnsi="Arial" w:cs="Arial"/>
          <w:sz w:val="24"/>
          <w:szCs w:val="24"/>
        </w:rPr>
        <w:t xml:space="preserve"> s</w:t>
      </w:r>
      <w:r w:rsidRPr="00951B1B">
        <w:rPr>
          <w:rFonts w:ascii="Arial" w:hAnsi="Arial" w:cs="Arial"/>
          <w:sz w:val="24"/>
          <w:szCs w:val="24"/>
        </w:rPr>
        <w:t xml:space="preserve">uperalloy was </w:t>
      </w:r>
      <w:r>
        <w:rPr>
          <w:rFonts w:ascii="Arial" w:hAnsi="Arial" w:cs="Arial"/>
          <w:sz w:val="24"/>
          <w:szCs w:val="24"/>
        </w:rPr>
        <w:t>investigated</w:t>
      </w:r>
      <w:r w:rsidRPr="00951B1B">
        <w:rPr>
          <w:rFonts w:ascii="Arial" w:hAnsi="Arial" w:cs="Arial"/>
          <w:sz w:val="24"/>
          <w:szCs w:val="24"/>
        </w:rPr>
        <w:t>. T</w:t>
      </w:r>
      <w:r>
        <w:rPr>
          <w:rFonts w:ascii="Arial" w:hAnsi="Arial" w:cs="Arial"/>
          <w:sz w:val="24"/>
          <w:szCs w:val="24"/>
        </w:rPr>
        <w:t>hese coatings consisted of</w:t>
      </w:r>
      <w:r w:rsidRPr="00951B1B">
        <w:rPr>
          <w:rFonts w:ascii="Arial" w:hAnsi="Arial" w:cs="Arial"/>
          <w:sz w:val="24"/>
          <w:szCs w:val="24"/>
        </w:rPr>
        <w:t xml:space="preserve"> Y</w:t>
      </w:r>
      <w:r w:rsidRPr="00DC62F3">
        <w:rPr>
          <w:rFonts w:ascii="Arial" w:hAnsi="Arial" w:cs="Arial"/>
          <w:sz w:val="24"/>
          <w:szCs w:val="24"/>
          <w:vertAlign w:val="subscript"/>
        </w:rPr>
        <w:t>2</w:t>
      </w:r>
      <w:r w:rsidRPr="00951B1B">
        <w:rPr>
          <w:rFonts w:ascii="Arial" w:hAnsi="Arial" w:cs="Arial"/>
          <w:sz w:val="24"/>
          <w:szCs w:val="24"/>
        </w:rPr>
        <w:t>O</w:t>
      </w:r>
      <w:r w:rsidRPr="00DC62F3">
        <w:rPr>
          <w:rFonts w:ascii="Arial" w:hAnsi="Arial" w:cs="Arial"/>
          <w:sz w:val="24"/>
          <w:szCs w:val="24"/>
          <w:vertAlign w:val="subscript"/>
        </w:rPr>
        <w:t>3-</w:t>
      </w:r>
      <w:r w:rsidRPr="00951B1B">
        <w:rPr>
          <w:rFonts w:ascii="Arial" w:hAnsi="Arial" w:cs="Arial"/>
          <w:sz w:val="24"/>
          <w:szCs w:val="24"/>
        </w:rPr>
        <w:t>stabilized ZrO</w:t>
      </w:r>
      <w:r w:rsidRPr="00DC62F3">
        <w:rPr>
          <w:rFonts w:ascii="Arial" w:hAnsi="Arial" w:cs="Arial"/>
          <w:sz w:val="24"/>
          <w:szCs w:val="24"/>
          <w:vertAlign w:val="subscript"/>
        </w:rPr>
        <w:t>2</w:t>
      </w:r>
      <w:r w:rsidRPr="00951B1B">
        <w:rPr>
          <w:rFonts w:ascii="Arial" w:hAnsi="Arial" w:cs="Arial"/>
          <w:sz w:val="24"/>
          <w:szCs w:val="24"/>
        </w:rPr>
        <w:t xml:space="preserve"> </w:t>
      </w:r>
      <w:r>
        <w:rPr>
          <w:rFonts w:ascii="Arial" w:hAnsi="Arial" w:cs="Arial"/>
          <w:sz w:val="24"/>
          <w:szCs w:val="24"/>
        </w:rPr>
        <w:t>‘</w:t>
      </w:r>
      <w:r w:rsidRPr="00951B1B">
        <w:rPr>
          <w:rFonts w:ascii="Arial" w:hAnsi="Arial" w:cs="Arial"/>
          <w:sz w:val="24"/>
          <w:szCs w:val="24"/>
        </w:rPr>
        <w:t>topcoat</w:t>
      </w:r>
      <w:r>
        <w:rPr>
          <w:rFonts w:ascii="Arial" w:hAnsi="Arial" w:cs="Arial"/>
          <w:sz w:val="24"/>
          <w:szCs w:val="24"/>
        </w:rPr>
        <w:t>’</w:t>
      </w:r>
      <w:r w:rsidRPr="00951B1B">
        <w:rPr>
          <w:rFonts w:ascii="Arial" w:hAnsi="Arial" w:cs="Arial"/>
          <w:sz w:val="24"/>
          <w:szCs w:val="24"/>
        </w:rPr>
        <w:t xml:space="preserve"> and a CoNiCrAlY</w:t>
      </w:r>
      <w:r>
        <w:rPr>
          <w:rFonts w:ascii="Arial" w:hAnsi="Arial" w:cs="Arial"/>
          <w:sz w:val="24"/>
          <w:szCs w:val="24"/>
        </w:rPr>
        <w:t xml:space="preserve"> ‘bondcoat’ </w:t>
      </w:r>
      <w:r w:rsidRPr="00951B1B">
        <w:rPr>
          <w:rFonts w:ascii="Arial" w:hAnsi="Arial" w:cs="Arial"/>
          <w:sz w:val="24"/>
          <w:szCs w:val="24"/>
        </w:rPr>
        <w:t>known as standard TBC</w:t>
      </w:r>
      <w:r>
        <w:rPr>
          <w:rFonts w:ascii="Arial" w:hAnsi="Arial" w:cs="Arial"/>
          <w:sz w:val="24"/>
          <w:szCs w:val="24"/>
        </w:rPr>
        <w:t>,</w:t>
      </w:r>
      <w:r w:rsidRPr="00951B1B">
        <w:rPr>
          <w:rFonts w:ascii="Arial" w:hAnsi="Arial" w:cs="Arial"/>
          <w:sz w:val="24"/>
          <w:szCs w:val="24"/>
        </w:rPr>
        <w:t xml:space="preserve"> and</w:t>
      </w:r>
      <w:r>
        <w:rPr>
          <w:rFonts w:ascii="Arial" w:hAnsi="Arial" w:cs="Arial"/>
          <w:sz w:val="24"/>
          <w:szCs w:val="24"/>
        </w:rPr>
        <w:t xml:space="preserve"> (titanium nitride)</w:t>
      </w:r>
      <w:r w:rsidRPr="00951B1B">
        <w:rPr>
          <w:rFonts w:ascii="Arial" w:hAnsi="Arial" w:cs="Arial"/>
          <w:sz w:val="24"/>
          <w:szCs w:val="24"/>
        </w:rPr>
        <w:t xml:space="preserve"> TiN-modified </w:t>
      </w:r>
      <w:r>
        <w:rPr>
          <w:rFonts w:ascii="Arial" w:hAnsi="Arial" w:cs="Arial"/>
          <w:sz w:val="24"/>
          <w:szCs w:val="24"/>
        </w:rPr>
        <w:t>‘</w:t>
      </w:r>
      <w:r w:rsidRPr="00951B1B">
        <w:rPr>
          <w:rFonts w:ascii="Arial" w:hAnsi="Arial" w:cs="Arial"/>
          <w:sz w:val="24"/>
          <w:szCs w:val="24"/>
        </w:rPr>
        <w:t>bondcoat</w:t>
      </w:r>
      <w:r>
        <w:rPr>
          <w:rFonts w:ascii="Arial" w:hAnsi="Arial" w:cs="Arial"/>
          <w:sz w:val="24"/>
          <w:szCs w:val="24"/>
        </w:rPr>
        <w:t>’</w:t>
      </w:r>
      <w:r w:rsidRPr="00951B1B">
        <w:rPr>
          <w:rFonts w:ascii="Arial" w:hAnsi="Arial" w:cs="Arial"/>
          <w:sz w:val="24"/>
          <w:szCs w:val="24"/>
        </w:rPr>
        <w:t xml:space="preserve"> TBC</w:t>
      </w:r>
      <w:r>
        <w:rPr>
          <w:rFonts w:ascii="Arial" w:hAnsi="Arial" w:cs="Arial"/>
          <w:sz w:val="24"/>
          <w:szCs w:val="24"/>
        </w:rPr>
        <w:t xml:space="preserve">;  the ‘bondcoat’ was modified by depositing thin layer of </w:t>
      </w:r>
      <w:r>
        <w:rPr>
          <w:rFonts w:ascii="Arial" w:hAnsi="Arial" w:cs="Arial"/>
          <w:sz w:val="24"/>
          <w:szCs w:val="24"/>
        </w:rPr>
        <w:lastRenderedPageBreak/>
        <w:t>TiN</w:t>
      </w:r>
      <w:r w:rsidRPr="00951B1B">
        <w:rPr>
          <w:rFonts w:ascii="Arial" w:hAnsi="Arial" w:cs="Arial"/>
          <w:sz w:val="24"/>
          <w:szCs w:val="24"/>
        </w:rPr>
        <w:t xml:space="preserve"> </w:t>
      </w:r>
      <w:r>
        <w:rPr>
          <w:rFonts w:ascii="Arial" w:hAnsi="Arial" w:cs="Arial"/>
          <w:sz w:val="24"/>
          <w:szCs w:val="24"/>
        </w:rPr>
        <w:t>on the ‘bondcoat’,</w:t>
      </w:r>
      <w:r w:rsidRPr="00951B1B">
        <w:rPr>
          <w:rFonts w:ascii="Arial" w:hAnsi="Arial" w:cs="Arial"/>
          <w:sz w:val="24"/>
          <w:szCs w:val="24"/>
        </w:rPr>
        <w:t xml:space="preserve"> </w:t>
      </w:r>
      <w:r>
        <w:rPr>
          <w:rFonts w:ascii="Arial" w:hAnsi="Arial" w:cs="Arial"/>
          <w:sz w:val="24"/>
          <w:szCs w:val="24"/>
        </w:rPr>
        <w:t>using</w:t>
      </w:r>
      <w:r w:rsidRPr="00951B1B">
        <w:rPr>
          <w:rFonts w:ascii="Arial" w:hAnsi="Arial" w:cs="Arial"/>
          <w:sz w:val="24"/>
          <w:szCs w:val="24"/>
        </w:rPr>
        <w:t xml:space="preserve"> a</w:t>
      </w:r>
      <w:r>
        <w:rPr>
          <w:rFonts w:ascii="Arial" w:hAnsi="Arial" w:cs="Arial"/>
          <w:sz w:val="24"/>
          <w:szCs w:val="24"/>
        </w:rPr>
        <w:t xml:space="preserve"> PVD system. </w:t>
      </w:r>
      <w:r w:rsidRPr="00951B1B">
        <w:rPr>
          <w:rFonts w:ascii="Arial" w:hAnsi="Arial" w:cs="Arial"/>
          <w:sz w:val="24"/>
          <w:szCs w:val="24"/>
        </w:rPr>
        <w:t xml:space="preserve"> Both TBC systems were exposed to </w:t>
      </w:r>
      <w:r>
        <w:rPr>
          <w:rFonts w:ascii="Arial" w:hAnsi="Arial" w:cs="Arial"/>
          <w:sz w:val="24"/>
          <w:szCs w:val="24"/>
        </w:rPr>
        <w:t>intense thermal cycling by exposing</w:t>
      </w:r>
      <w:r w:rsidRPr="00293010">
        <w:rPr>
          <w:rFonts w:ascii="Arial" w:hAnsi="Arial" w:cs="Arial"/>
          <w:sz w:val="24"/>
          <w:szCs w:val="24"/>
        </w:rPr>
        <w:t xml:space="preserve"> samples to 950˚C holding up to 5 min</w:t>
      </w:r>
      <w:r>
        <w:rPr>
          <w:rFonts w:ascii="Arial" w:hAnsi="Arial" w:cs="Arial"/>
          <w:sz w:val="24"/>
          <w:szCs w:val="24"/>
        </w:rPr>
        <w:t>,</w:t>
      </w:r>
      <w:r w:rsidRPr="00293010">
        <w:rPr>
          <w:rFonts w:ascii="Arial" w:hAnsi="Arial" w:cs="Arial"/>
          <w:sz w:val="24"/>
          <w:szCs w:val="24"/>
        </w:rPr>
        <w:t xml:space="preserve"> </w:t>
      </w:r>
      <w:r>
        <w:rPr>
          <w:rFonts w:ascii="Arial" w:hAnsi="Arial" w:cs="Arial"/>
          <w:sz w:val="24"/>
          <w:szCs w:val="24"/>
        </w:rPr>
        <w:t>followed by</w:t>
      </w:r>
      <w:r w:rsidRPr="00293010">
        <w:rPr>
          <w:rFonts w:ascii="Arial" w:hAnsi="Arial" w:cs="Arial"/>
          <w:sz w:val="24"/>
          <w:szCs w:val="24"/>
        </w:rPr>
        <w:t xml:space="preserve"> water quenching</w:t>
      </w:r>
      <w:r>
        <w:rPr>
          <w:rFonts w:ascii="Arial" w:hAnsi="Arial" w:cs="Arial"/>
          <w:sz w:val="24"/>
          <w:szCs w:val="24"/>
        </w:rPr>
        <w:t>.</w:t>
      </w:r>
      <w:r w:rsidRPr="00F36AA0">
        <w:rPr>
          <w:rFonts w:ascii="Arial" w:hAnsi="Arial" w:cs="Arial"/>
          <w:sz w:val="24"/>
          <w:szCs w:val="24"/>
        </w:rPr>
        <w:t xml:space="preserve"> </w:t>
      </w:r>
      <w:r>
        <w:rPr>
          <w:rFonts w:ascii="Arial" w:hAnsi="Arial" w:cs="Arial"/>
          <w:sz w:val="24"/>
          <w:szCs w:val="24"/>
        </w:rPr>
        <w:t>Residual stresses at the interface of ‘topcoat’ and ‘bondcoat’ were determined by</w:t>
      </w:r>
      <w:r w:rsidRPr="00926FFD">
        <w:rPr>
          <w:rFonts w:ascii="Arial" w:hAnsi="Arial" w:cs="Arial"/>
          <w:sz w:val="24"/>
          <w:szCs w:val="24"/>
        </w:rPr>
        <w:t xml:space="preserve"> </w:t>
      </w:r>
      <w:r>
        <w:rPr>
          <w:rFonts w:ascii="Arial" w:hAnsi="Arial" w:cs="Arial"/>
          <w:sz w:val="24"/>
          <w:szCs w:val="24"/>
        </w:rPr>
        <w:t xml:space="preserve">‘specimen curvature method’. </w:t>
      </w:r>
      <w:r w:rsidRPr="00F36AA0">
        <w:rPr>
          <w:rFonts w:ascii="Arial" w:hAnsi="Arial" w:cs="Arial"/>
          <w:sz w:val="24"/>
          <w:szCs w:val="24"/>
        </w:rPr>
        <w:t>It was observed that the TiN-modified samples</w:t>
      </w:r>
      <w:r>
        <w:rPr>
          <w:rFonts w:ascii="Arial" w:hAnsi="Arial" w:cs="Arial"/>
          <w:sz w:val="24"/>
          <w:szCs w:val="24"/>
        </w:rPr>
        <w:t xml:space="preserve"> </w:t>
      </w:r>
      <w:r w:rsidRPr="00F36AA0">
        <w:rPr>
          <w:rFonts w:ascii="Arial" w:hAnsi="Arial" w:cs="Arial"/>
          <w:sz w:val="24"/>
          <w:szCs w:val="24"/>
        </w:rPr>
        <w:t>showed better res</w:t>
      </w:r>
      <w:r>
        <w:rPr>
          <w:rFonts w:ascii="Arial" w:hAnsi="Arial" w:cs="Arial"/>
          <w:sz w:val="24"/>
          <w:szCs w:val="24"/>
        </w:rPr>
        <w:t>istance against</w:t>
      </w:r>
      <w:r w:rsidRPr="00F36AA0">
        <w:rPr>
          <w:rFonts w:ascii="Arial" w:hAnsi="Arial" w:cs="Arial"/>
          <w:sz w:val="24"/>
          <w:szCs w:val="24"/>
        </w:rPr>
        <w:t xml:space="preserve"> delamination</w:t>
      </w:r>
      <w:r w:rsidRPr="0074405B">
        <w:rPr>
          <w:rFonts w:ascii="Arial" w:hAnsi="Arial" w:cs="Arial"/>
          <w:sz w:val="24"/>
          <w:szCs w:val="24"/>
        </w:rPr>
        <w:t xml:space="preserve"> </w:t>
      </w:r>
      <w:r w:rsidRPr="00F36AA0">
        <w:rPr>
          <w:rFonts w:ascii="Arial" w:hAnsi="Arial" w:cs="Arial"/>
          <w:sz w:val="24"/>
          <w:szCs w:val="24"/>
        </w:rPr>
        <w:t>and</w:t>
      </w:r>
      <w:r>
        <w:rPr>
          <w:rFonts w:ascii="Arial" w:hAnsi="Arial" w:cs="Arial"/>
          <w:sz w:val="24"/>
          <w:szCs w:val="24"/>
        </w:rPr>
        <w:t xml:space="preserve"> weight loss</w:t>
      </w:r>
      <w:r w:rsidRPr="00F36AA0">
        <w:rPr>
          <w:rFonts w:ascii="Arial" w:hAnsi="Arial" w:cs="Arial"/>
          <w:sz w:val="24"/>
          <w:szCs w:val="24"/>
        </w:rPr>
        <w:t xml:space="preserve">. </w:t>
      </w:r>
      <w:r>
        <w:rPr>
          <w:rFonts w:ascii="Arial" w:hAnsi="Arial" w:cs="Arial"/>
          <w:sz w:val="24"/>
          <w:szCs w:val="24"/>
        </w:rPr>
        <w:t>F</w:t>
      </w:r>
      <w:r w:rsidRPr="00F36AA0">
        <w:rPr>
          <w:rFonts w:ascii="Arial" w:hAnsi="Arial" w:cs="Arial"/>
          <w:sz w:val="24"/>
          <w:szCs w:val="24"/>
        </w:rPr>
        <w:t xml:space="preserve">ormation of </w:t>
      </w:r>
      <w:r w:rsidRPr="008878A1">
        <w:rPr>
          <w:rFonts w:ascii="Arial" w:hAnsi="Arial" w:cs="Arial"/>
          <w:sz w:val="24"/>
          <w:szCs w:val="24"/>
        </w:rPr>
        <w:t>Cr</w:t>
      </w:r>
      <w:r w:rsidRPr="00430EED">
        <w:rPr>
          <w:rFonts w:ascii="Arial" w:hAnsi="Arial" w:cs="Arial"/>
          <w:sz w:val="24"/>
          <w:szCs w:val="24"/>
          <w:vertAlign w:val="subscript"/>
        </w:rPr>
        <w:t>2</w:t>
      </w:r>
      <w:r w:rsidRPr="008878A1">
        <w:rPr>
          <w:rFonts w:ascii="Arial" w:hAnsi="Arial" w:cs="Arial"/>
          <w:sz w:val="24"/>
          <w:szCs w:val="24"/>
        </w:rPr>
        <w:t>Ti</w:t>
      </w:r>
      <w:r w:rsidRPr="00430EED">
        <w:rPr>
          <w:rFonts w:ascii="Arial" w:hAnsi="Arial" w:cs="Arial"/>
          <w:sz w:val="24"/>
          <w:szCs w:val="24"/>
          <w:vertAlign w:val="subscript"/>
        </w:rPr>
        <w:t>n-2</w:t>
      </w:r>
      <w:r w:rsidRPr="008878A1">
        <w:rPr>
          <w:rFonts w:ascii="Arial" w:hAnsi="Arial" w:cs="Arial"/>
          <w:sz w:val="24"/>
          <w:szCs w:val="24"/>
        </w:rPr>
        <w:t>O</w:t>
      </w:r>
      <w:r w:rsidRPr="00430EED">
        <w:rPr>
          <w:rFonts w:ascii="Arial" w:hAnsi="Arial" w:cs="Arial"/>
          <w:sz w:val="24"/>
          <w:szCs w:val="24"/>
          <w:vertAlign w:val="subscript"/>
        </w:rPr>
        <w:t>2n-1</w:t>
      </w:r>
      <w:r>
        <w:rPr>
          <w:rFonts w:ascii="Arial" w:hAnsi="Arial" w:cs="Arial"/>
          <w:sz w:val="24"/>
          <w:szCs w:val="24"/>
        </w:rPr>
        <w:t xml:space="preserve"> </w:t>
      </w:r>
      <w:r w:rsidRPr="00F36AA0">
        <w:rPr>
          <w:rFonts w:ascii="Arial" w:hAnsi="Arial" w:cs="Arial"/>
          <w:sz w:val="24"/>
          <w:szCs w:val="24"/>
        </w:rPr>
        <w:t xml:space="preserve">phase at the </w:t>
      </w:r>
      <w:r>
        <w:rPr>
          <w:rFonts w:ascii="Arial" w:hAnsi="Arial" w:cs="Arial"/>
          <w:sz w:val="24"/>
          <w:szCs w:val="24"/>
        </w:rPr>
        <w:t>‘</w:t>
      </w:r>
      <w:r w:rsidRPr="00F36AA0">
        <w:rPr>
          <w:rFonts w:ascii="Arial" w:hAnsi="Arial" w:cs="Arial"/>
          <w:sz w:val="24"/>
          <w:szCs w:val="24"/>
        </w:rPr>
        <w:t>topcoat–</w:t>
      </w:r>
      <w:proofErr w:type="spellStart"/>
      <w:r w:rsidRPr="00F36AA0">
        <w:rPr>
          <w:rFonts w:ascii="Arial" w:hAnsi="Arial" w:cs="Arial"/>
          <w:sz w:val="24"/>
          <w:szCs w:val="24"/>
        </w:rPr>
        <w:t>bondcoat</w:t>
      </w:r>
      <w:proofErr w:type="spellEnd"/>
      <w:r>
        <w:rPr>
          <w:rFonts w:ascii="Arial" w:hAnsi="Arial" w:cs="Arial"/>
          <w:sz w:val="24"/>
          <w:szCs w:val="24"/>
        </w:rPr>
        <w:t>’</w:t>
      </w:r>
      <w:r w:rsidRPr="00F36AA0">
        <w:rPr>
          <w:rFonts w:ascii="Arial" w:hAnsi="Arial" w:cs="Arial"/>
          <w:sz w:val="24"/>
          <w:szCs w:val="24"/>
        </w:rPr>
        <w:t xml:space="preserve"> interface, in </w:t>
      </w:r>
      <w:proofErr w:type="spellStart"/>
      <w:r w:rsidRPr="00F36AA0">
        <w:rPr>
          <w:rFonts w:ascii="Arial" w:hAnsi="Arial" w:cs="Arial"/>
          <w:sz w:val="24"/>
          <w:szCs w:val="24"/>
        </w:rPr>
        <w:t>TiN</w:t>
      </w:r>
      <w:proofErr w:type="spellEnd"/>
      <w:r w:rsidRPr="00F36AA0">
        <w:rPr>
          <w:rFonts w:ascii="Arial" w:hAnsi="Arial" w:cs="Arial"/>
          <w:sz w:val="24"/>
          <w:szCs w:val="24"/>
        </w:rPr>
        <w:t xml:space="preserve">-modified </w:t>
      </w:r>
      <w:r>
        <w:rPr>
          <w:rFonts w:ascii="Arial" w:hAnsi="Arial" w:cs="Arial"/>
          <w:sz w:val="24"/>
          <w:szCs w:val="24"/>
        </w:rPr>
        <w:t>specimens</w:t>
      </w:r>
      <w:r w:rsidRPr="00F36AA0">
        <w:rPr>
          <w:rFonts w:ascii="Arial" w:hAnsi="Arial" w:cs="Arial"/>
          <w:sz w:val="24"/>
          <w:szCs w:val="24"/>
        </w:rPr>
        <w:t xml:space="preserve"> w</w:t>
      </w:r>
      <w:r>
        <w:rPr>
          <w:rFonts w:ascii="Arial" w:hAnsi="Arial" w:cs="Arial"/>
          <w:sz w:val="24"/>
          <w:szCs w:val="24"/>
        </w:rPr>
        <w:t xml:space="preserve">as held responsible for improved </w:t>
      </w:r>
      <w:r w:rsidRPr="00F36AA0">
        <w:rPr>
          <w:rFonts w:ascii="Arial" w:hAnsi="Arial" w:cs="Arial"/>
          <w:sz w:val="24"/>
          <w:szCs w:val="24"/>
        </w:rPr>
        <w:t xml:space="preserve">thermal </w:t>
      </w:r>
      <w:r>
        <w:rPr>
          <w:rFonts w:ascii="Arial" w:hAnsi="Arial" w:cs="Arial"/>
          <w:sz w:val="24"/>
          <w:szCs w:val="24"/>
        </w:rPr>
        <w:t>shock resistance</w:t>
      </w:r>
      <w:r w:rsidRPr="00F36AA0">
        <w:rPr>
          <w:rFonts w:ascii="Arial" w:hAnsi="Arial" w:cs="Arial"/>
          <w:sz w:val="24"/>
          <w:szCs w:val="24"/>
        </w:rPr>
        <w:t xml:space="preserve"> of the TBC</w:t>
      </w:r>
      <w:r>
        <w:rPr>
          <w:rFonts w:ascii="Arial" w:hAnsi="Arial" w:cs="Arial"/>
          <w:sz w:val="24"/>
          <w:szCs w:val="24"/>
        </w:rPr>
        <w:t>s</w:t>
      </w:r>
      <w:r w:rsidRPr="00F36AA0">
        <w:rPr>
          <w:rFonts w:ascii="Arial" w:hAnsi="Arial" w:cs="Arial"/>
          <w:sz w:val="24"/>
          <w:szCs w:val="24"/>
        </w:rPr>
        <w:t>.</w:t>
      </w:r>
      <w:r w:rsidRPr="0074405B">
        <w:rPr>
          <w:rFonts w:ascii="Arial" w:hAnsi="Arial" w:cs="Arial"/>
          <w:sz w:val="24"/>
          <w:szCs w:val="24"/>
        </w:rPr>
        <w:t xml:space="preserve"> </w:t>
      </w:r>
    </w:p>
    <w:p w:rsidR="004A192A" w:rsidRPr="00240796" w:rsidRDefault="004A192A" w:rsidP="00421CEC">
      <w:pPr>
        <w:spacing w:after="120" w:line="276" w:lineRule="auto"/>
        <w:jc w:val="both"/>
        <w:rPr>
          <w:rFonts w:ascii="Arial" w:hAnsi="Arial" w:cs="Arial"/>
          <w:color w:val="000000"/>
          <w:sz w:val="24"/>
          <w:szCs w:val="28"/>
        </w:rPr>
      </w:pPr>
      <w:r>
        <w:rPr>
          <w:rFonts w:ascii="Arial" w:hAnsi="Arial" w:cs="Arial"/>
          <w:b/>
          <w:bCs/>
          <w:color w:val="000000"/>
          <w:sz w:val="24"/>
          <w:szCs w:val="24"/>
        </w:rPr>
        <w:t>Key words</w:t>
      </w:r>
      <w:r w:rsidRPr="00240796">
        <w:rPr>
          <w:rFonts w:ascii="Arial" w:hAnsi="Arial" w:cs="Arial"/>
          <w:color w:val="000000"/>
          <w:sz w:val="24"/>
          <w:szCs w:val="28"/>
        </w:rPr>
        <w:t xml:space="preserve"> </w:t>
      </w:r>
      <w:r w:rsidRPr="002B2E65">
        <w:rPr>
          <w:rFonts w:ascii="Arial" w:hAnsi="Arial" w:cs="Arial"/>
          <w:color w:val="000000"/>
          <w:sz w:val="24"/>
          <w:szCs w:val="28"/>
        </w:rPr>
        <w:t xml:space="preserve">Thermal barrier coating, </w:t>
      </w:r>
      <w:proofErr w:type="gramStart"/>
      <w:r w:rsidRPr="002B2E65">
        <w:rPr>
          <w:rFonts w:ascii="Arial" w:hAnsi="Arial" w:cs="Arial"/>
          <w:color w:val="000000"/>
          <w:sz w:val="24"/>
          <w:szCs w:val="28"/>
        </w:rPr>
        <w:t>Hot</w:t>
      </w:r>
      <w:proofErr w:type="gramEnd"/>
      <w:r w:rsidRPr="002B2E65">
        <w:rPr>
          <w:rFonts w:ascii="Arial" w:hAnsi="Arial" w:cs="Arial"/>
          <w:color w:val="000000"/>
          <w:sz w:val="24"/>
          <w:szCs w:val="28"/>
        </w:rPr>
        <w:t xml:space="preserve"> corrosion, </w:t>
      </w:r>
      <w:r>
        <w:rPr>
          <w:rFonts w:ascii="Arial" w:hAnsi="Arial" w:cs="Arial"/>
          <w:color w:val="000000"/>
          <w:sz w:val="24"/>
          <w:szCs w:val="28"/>
        </w:rPr>
        <w:t>Thermal cycling</w:t>
      </w:r>
      <w:r w:rsidRPr="002B2E65">
        <w:rPr>
          <w:rFonts w:ascii="Arial" w:hAnsi="Arial" w:cs="Arial"/>
          <w:color w:val="000000"/>
          <w:sz w:val="24"/>
          <w:szCs w:val="28"/>
        </w:rPr>
        <w:t xml:space="preserve">, </w:t>
      </w:r>
      <w:r>
        <w:rPr>
          <w:rFonts w:ascii="Arial" w:hAnsi="Arial" w:cs="Arial"/>
          <w:color w:val="000000"/>
          <w:sz w:val="24"/>
          <w:szCs w:val="28"/>
        </w:rPr>
        <w:t>Residual stress</w:t>
      </w:r>
      <w:r w:rsidRPr="002B2E65">
        <w:rPr>
          <w:rFonts w:ascii="Arial" w:hAnsi="Arial" w:cs="Arial"/>
          <w:color w:val="000000"/>
          <w:sz w:val="24"/>
          <w:szCs w:val="28"/>
        </w:rPr>
        <w:t xml:space="preserve">, </w:t>
      </w:r>
      <w:r>
        <w:rPr>
          <w:rFonts w:ascii="Arial" w:hAnsi="Arial" w:cs="Arial"/>
          <w:color w:val="000000"/>
          <w:sz w:val="24"/>
          <w:szCs w:val="28"/>
        </w:rPr>
        <w:t>Delamination</w:t>
      </w:r>
      <w:r w:rsidRPr="002B2E65">
        <w:rPr>
          <w:rFonts w:ascii="Arial" w:hAnsi="Arial" w:cs="Arial"/>
          <w:color w:val="000000"/>
          <w:sz w:val="24"/>
          <w:szCs w:val="28"/>
        </w:rPr>
        <w:t xml:space="preserve">, </w:t>
      </w:r>
    </w:p>
    <w:p w:rsidR="004A3413" w:rsidRDefault="004A3413" w:rsidP="00421CEC">
      <w:pPr>
        <w:spacing w:line="276" w:lineRule="auto"/>
        <w:sectPr w:rsidR="004A3413" w:rsidSect="004A3413">
          <w:type w:val="continuous"/>
          <w:pgSz w:w="12240" w:h="15840"/>
          <w:pgMar w:top="1440" w:right="1440" w:bottom="1440" w:left="1440" w:header="720" w:footer="720" w:gutter="0"/>
          <w:cols w:num="2" w:space="720"/>
          <w:docGrid w:linePitch="360"/>
        </w:sectPr>
      </w:pPr>
    </w:p>
    <w:p w:rsidR="00421CEC" w:rsidRDefault="00421CEC" w:rsidP="00421CEC">
      <w:pPr>
        <w:pStyle w:val="BodyText"/>
        <w:spacing w:before="3"/>
        <w:jc w:val="both"/>
        <w:rPr>
          <w:rFonts w:ascii="Times New Roman" w:hAnsi="Times New Roman" w:cs="Times New Roman"/>
          <w:b/>
          <w:sz w:val="24"/>
          <w:szCs w:val="24"/>
        </w:rPr>
      </w:pPr>
    </w:p>
    <w:p w:rsidR="00421CEC" w:rsidRPr="00667712" w:rsidRDefault="00421CEC" w:rsidP="00421CEC">
      <w:pPr>
        <w:pStyle w:val="BodyText"/>
        <w:spacing w:before="3"/>
        <w:jc w:val="both"/>
        <w:rPr>
          <w:rFonts w:ascii="Times New Roman" w:hAnsi="Times New Roman" w:cs="Times New Roman"/>
          <w:b/>
          <w:sz w:val="24"/>
          <w:szCs w:val="24"/>
        </w:rPr>
      </w:pPr>
      <w:bookmarkStart w:id="0" w:name="_GoBack"/>
      <w:bookmarkEnd w:id="0"/>
      <w:r w:rsidRPr="00667712">
        <w:rPr>
          <w:rFonts w:ascii="Times New Roman" w:hAnsi="Times New Roman" w:cs="Times New Roman"/>
          <w:b/>
          <w:sz w:val="24"/>
          <w:szCs w:val="24"/>
        </w:rPr>
        <w:t>Biography</w:t>
      </w:r>
    </w:p>
    <w:p w:rsidR="004A3413" w:rsidRPr="00421CEC" w:rsidRDefault="004A3413" w:rsidP="00421CEC">
      <w:pPr>
        <w:spacing w:line="276" w:lineRule="auto"/>
        <w:rPr>
          <w:sz w:val="24"/>
          <w:szCs w:val="24"/>
        </w:rPr>
      </w:pPr>
      <w:r w:rsidRPr="00421CEC">
        <w:rPr>
          <w:sz w:val="24"/>
          <w:szCs w:val="24"/>
        </w:rPr>
        <w:t xml:space="preserve">Muhammad Shahid did his BSc in Metallurgical Engineering in 1983 from Pakistan and PhD in 1991 from UK. He served industry in Pakistan for 12 years before switching to academia in 2001. He has supervised about 40 undergraduate and 28 MS research projects. He passed out 3 </w:t>
      </w:r>
      <w:r w:rsidR="00421CEC" w:rsidRPr="00421CEC">
        <w:rPr>
          <w:sz w:val="24"/>
          <w:szCs w:val="24"/>
        </w:rPr>
        <w:t>PhDs and</w:t>
      </w:r>
      <w:r w:rsidRPr="00421CEC">
        <w:rPr>
          <w:sz w:val="24"/>
          <w:szCs w:val="24"/>
        </w:rPr>
        <w:t xml:space="preserve"> currently supervising 2 PhD students. Muhammad Shahid is a full time </w:t>
      </w:r>
      <w:r w:rsidR="00421CEC" w:rsidRPr="00421CEC">
        <w:rPr>
          <w:sz w:val="24"/>
          <w:szCs w:val="24"/>
        </w:rPr>
        <w:t xml:space="preserve">Professor </w:t>
      </w:r>
      <w:r w:rsidRPr="00421CEC">
        <w:rPr>
          <w:sz w:val="24"/>
          <w:szCs w:val="24"/>
        </w:rPr>
        <w:t xml:space="preserve">at School of Chemical and Materials Engineering, National University of Sciences &amp; Technology, Islamabad, Pakistan. </w:t>
      </w:r>
    </w:p>
    <w:p w:rsidR="00421CEC" w:rsidRPr="00421CEC" w:rsidRDefault="00421CEC" w:rsidP="00421CEC">
      <w:pPr>
        <w:spacing w:line="276" w:lineRule="auto"/>
        <w:jc w:val="center"/>
        <w:rPr>
          <w:sz w:val="24"/>
          <w:szCs w:val="24"/>
        </w:rPr>
      </w:pPr>
      <w:hyperlink r:id="rId4" w:history="1">
        <w:r w:rsidRPr="00421CEC">
          <w:rPr>
            <w:rStyle w:val="Hyperlink"/>
            <w:sz w:val="24"/>
            <w:szCs w:val="24"/>
          </w:rPr>
          <w:t>mshahid@scme.nust.edu.pk</w:t>
        </w:r>
      </w:hyperlink>
    </w:p>
    <w:p w:rsidR="00421CEC" w:rsidRPr="00421CEC" w:rsidRDefault="00421CEC" w:rsidP="00421CEC">
      <w:pPr>
        <w:spacing w:line="276" w:lineRule="auto"/>
        <w:rPr>
          <w:sz w:val="24"/>
          <w:szCs w:val="24"/>
        </w:rPr>
      </w:pPr>
      <w:r w:rsidRPr="00421CEC">
        <w:rPr>
          <w:rFonts w:ascii="Times New Roman" w:hAnsi="Times New Roman" w:cs="Times New Roman"/>
          <w:b/>
          <w:sz w:val="24"/>
          <w:szCs w:val="24"/>
        </w:rPr>
        <w:t>Notes/Comments:</w:t>
      </w:r>
    </w:p>
    <w:p w:rsidR="00421CEC" w:rsidRPr="00421CEC" w:rsidRDefault="00421CEC" w:rsidP="00421CEC">
      <w:pPr>
        <w:spacing w:line="276" w:lineRule="auto"/>
        <w:rPr>
          <w:sz w:val="24"/>
          <w:szCs w:val="24"/>
        </w:rPr>
      </w:pPr>
      <w:r w:rsidRPr="00421CEC">
        <w:rPr>
          <w:sz w:val="24"/>
          <w:szCs w:val="24"/>
        </w:rPr>
        <w:lastRenderedPageBreak/>
        <w:t>The present paper is a part of PhD work done by one of his PhD student who completed his degree in 2017.</w:t>
      </w:r>
    </w:p>
    <w:sectPr w:rsidR="00421CEC" w:rsidRPr="00421CEC" w:rsidSect="004A3413">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92A"/>
    <w:rsid w:val="00421CEC"/>
    <w:rsid w:val="004A192A"/>
    <w:rsid w:val="004A3413"/>
    <w:rsid w:val="004F30A7"/>
    <w:rsid w:val="0080687E"/>
    <w:rsid w:val="0083208F"/>
    <w:rsid w:val="00A72E89"/>
    <w:rsid w:val="00B678C6"/>
    <w:rsid w:val="00CC328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48CC379-EF24-493B-AA9C-89CD70FCE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192A"/>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72E89"/>
    <w:rPr>
      <w:color w:val="0000FF" w:themeColor="hyperlink"/>
      <w:u w:val="single"/>
    </w:rPr>
  </w:style>
  <w:style w:type="paragraph" w:styleId="ListParagraph">
    <w:name w:val="List Paragraph"/>
    <w:basedOn w:val="Normal"/>
    <w:uiPriority w:val="34"/>
    <w:qFormat/>
    <w:rsid w:val="00A72E89"/>
    <w:pPr>
      <w:ind w:left="720"/>
      <w:contextualSpacing/>
    </w:pPr>
  </w:style>
  <w:style w:type="paragraph" w:styleId="BodyText">
    <w:name w:val="Body Text"/>
    <w:basedOn w:val="Normal"/>
    <w:link w:val="BodyTextChar"/>
    <w:uiPriority w:val="1"/>
    <w:qFormat/>
    <w:rsid w:val="00421CEC"/>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421CEC"/>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shahid@scme.nust.edu.p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370</Words>
  <Characters>2115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Dr. Muhammad Shahid</cp:lastModifiedBy>
  <cp:revision>3</cp:revision>
  <dcterms:created xsi:type="dcterms:W3CDTF">2018-04-01T17:11:00Z</dcterms:created>
  <dcterms:modified xsi:type="dcterms:W3CDTF">2018-04-01T17:28:00Z</dcterms:modified>
</cp:coreProperties>
</file>