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FAD85" w14:textId="327E9118" w:rsidR="00B6100A" w:rsidRPr="00B6100A" w:rsidRDefault="00C526F1" w:rsidP="00B6100A">
      <w:pPr>
        <w:spacing w:line="480" w:lineRule="auto"/>
        <w:jc w:val="center"/>
        <w:rPr>
          <w:rFonts w:ascii="Times New Roman" w:hAnsi="Times New Roman" w:cs="Times New Roman"/>
          <w:b/>
          <w:bCs/>
          <w:sz w:val="32"/>
          <w:szCs w:val="32"/>
        </w:rPr>
      </w:pPr>
      <w:r>
        <w:t>﻿</w:t>
      </w:r>
      <w:r w:rsidR="00B6100A" w:rsidRPr="00B6100A">
        <w:rPr>
          <w:rFonts w:ascii="Times New Roman" w:hAnsi="Times New Roman" w:cs="Times New Roman"/>
          <w:b/>
          <w:bCs/>
          <w:sz w:val="32"/>
          <w:szCs w:val="32"/>
        </w:rPr>
        <w:t>Plasmon</w:t>
      </w:r>
      <w:r w:rsidR="00B6100A">
        <w:rPr>
          <w:rFonts w:ascii="Times New Roman" w:hAnsi="Times New Roman" w:cs="Times New Roman"/>
          <w:b/>
          <w:bCs/>
          <w:sz w:val="32"/>
          <w:szCs w:val="32"/>
        </w:rPr>
        <w:t>-</w:t>
      </w:r>
      <w:r w:rsidR="00B6100A" w:rsidRPr="00B6100A">
        <w:rPr>
          <w:rFonts w:ascii="Times New Roman" w:hAnsi="Times New Roman" w:cs="Times New Roman"/>
          <w:b/>
          <w:bCs/>
          <w:sz w:val="32"/>
          <w:szCs w:val="32"/>
        </w:rPr>
        <w:t xml:space="preserve">promoted </w:t>
      </w:r>
      <w:r w:rsidR="00B6100A">
        <w:rPr>
          <w:rFonts w:ascii="Times New Roman" w:hAnsi="Times New Roman" w:cs="Times New Roman"/>
          <w:b/>
          <w:bCs/>
          <w:sz w:val="32"/>
          <w:szCs w:val="32"/>
        </w:rPr>
        <w:t>E</w:t>
      </w:r>
      <w:r w:rsidR="00B6100A" w:rsidRPr="00B6100A">
        <w:rPr>
          <w:rFonts w:ascii="Times New Roman" w:hAnsi="Times New Roman" w:cs="Times New Roman"/>
          <w:b/>
          <w:bCs/>
          <w:sz w:val="32"/>
          <w:szCs w:val="32"/>
        </w:rPr>
        <w:t xml:space="preserve">lectrochemical </w:t>
      </w:r>
      <w:r w:rsidR="00B6100A">
        <w:rPr>
          <w:rFonts w:ascii="Times New Roman" w:hAnsi="Times New Roman" w:cs="Times New Roman"/>
          <w:b/>
          <w:bCs/>
          <w:sz w:val="32"/>
          <w:szCs w:val="32"/>
        </w:rPr>
        <w:t>Oxygen C</w:t>
      </w:r>
      <w:r w:rsidR="00B6100A" w:rsidRPr="00B6100A">
        <w:rPr>
          <w:rFonts w:ascii="Times New Roman" w:hAnsi="Times New Roman" w:cs="Times New Roman"/>
          <w:b/>
          <w:bCs/>
          <w:sz w:val="32"/>
          <w:szCs w:val="32"/>
        </w:rPr>
        <w:t>atalysis</w:t>
      </w:r>
    </w:p>
    <w:p w14:paraId="5DA1E778" w14:textId="513CED1F" w:rsidR="00B6100A" w:rsidRPr="00B6100A" w:rsidRDefault="00B6100A" w:rsidP="00B6100A">
      <w:pPr>
        <w:spacing w:line="480" w:lineRule="auto"/>
        <w:jc w:val="center"/>
        <w:rPr>
          <w:rFonts w:ascii="Times New Roman" w:hAnsi="Times New Roman" w:cs="Times New Roman"/>
        </w:rPr>
      </w:pPr>
      <w:r w:rsidRPr="00B6100A">
        <w:rPr>
          <w:rFonts w:ascii="Times New Roman" w:hAnsi="Times New Roman" w:cs="Times New Roman"/>
        </w:rPr>
        <w:t>Peng Gu</w:t>
      </w:r>
    </w:p>
    <w:p w14:paraId="134A92A8" w14:textId="2AD38FB1" w:rsidR="00B6100A" w:rsidRPr="00B6100A" w:rsidRDefault="00B6100A" w:rsidP="00B6100A">
      <w:pPr>
        <w:spacing w:line="480" w:lineRule="auto"/>
        <w:jc w:val="center"/>
        <w:outlineLvl w:val="1"/>
        <w:rPr>
          <w:rFonts w:ascii="Times New Roman" w:hAnsi="Times New Roman" w:cs="Times New Roman"/>
        </w:rPr>
      </w:pPr>
      <w:r w:rsidRPr="00B6100A">
        <w:rPr>
          <w:rFonts w:ascii="Times New Roman" w:hAnsi="Times New Roman" w:cs="Times New Roman"/>
        </w:rPr>
        <w:t>Department of Light Chemical Engineering,</w:t>
      </w:r>
    </w:p>
    <w:p w14:paraId="137C201F" w14:textId="1BE90FAB" w:rsidR="00B6100A" w:rsidRPr="00B6100A" w:rsidRDefault="00B6100A" w:rsidP="00B6100A">
      <w:pPr>
        <w:spacing w:line="480" w:lineRule="auto"/>
        <w:jc w:val="center"/>
        <w:outlineLvl w:val="1"/>
        <w:rPr>
          <w:rFonts w:ascii="Times New Roman" w:hAnsi="Times New Roman" w:cs="Times New Roman"/>
        </w:rPr>
      </w:pPr>
      <w:r w:rsidRPr="00B6100A">
        <w:rPr>
          <w:rFonts w:ascii="Times New Roman" w:hAnsi="Times New Roman" w:cs="Times New Roman"/>
        </w:rPr>
        <w:t>Key Laboratory of Eco-Textiles, Ministry of Education, Jiangnan University</w:t>
      </w:r>
    </w:p>
    <w:p w14:paraId="2DCC51BF" w14:textId="1C8E205C" w:rsidR="00B6100A" w:rsidRPr="00B6100A" w:rsidRDefault="00B6100A" w:rsidP="00B6100A">
      <w:pPr>
        <w:spacing w:line="480" w:lineRule="auto"/>
        <w:jc w:val="center"/>
        <w:outlineLvl w:val="1"/>
        <w:rPr>
          <w:rFonts w:ascii="Times New Roman" w:hAnsi="Times New Roman" w:cs="Times New Roman"/>
        </w:rPr>
      </w:pPr>
      <w:r w:rsidRPr="00B6100A">
        <w:rPr>
          <w:rFonts w:ascii="Times New Roman" w:hAnsi="Times New Roman" w:cs="Times New Roman"/>
        </w:rPr>
        <w:t xml:space="preserve"> Wuxi, Jiangsu 214122, PR China</w:t>
      </w:r>
    </w:p>
    <w:p w14:paraId="4005C0D8" w14:textId="2AA57D28" w:rsidR="00B6100A" w:rsidRPr="00B6100A" w:rsidRDefault="00B6100A" w:rsidP="00B6100A">
      <w:pPr>
        <w:spacing w:line="480" w:lineRule="auto"/>
        <w:jc w:val="center"/>
        <w:rPr>
          <w:rFonts w:ascii="Times New Roman" w:hAnsi="Times New Roman" w:cs="Times New Roman"/>
        </w:rPr>
      </w:pPr>
      <w:r w:rsidRPr="00B6100A">
        <w:rPr>
          <w:rFonts w:ascii="Times New Roman" w:hAnsi="Times New Roman" w:cs="Times New Roman"/>
        </w:rPr>
        <w:t xml:space="preserve">Email: </w:t>
      </w:r>
      <w:hyperlink r:id="rId6" w:history="1">
        <w:r w:rsidRPr="00B6100A">
          <w:rPr>
            <w:rStyle w:val="Hyperlink"/>
            <w:rFonts w:ascii="Times New Roman" w:hAnsi="Times New Roman" w:cs="Times New Roman"/>
          </w:rPr>
          <w:t>tommy861007@hotmail.com</w:t>
        </w:r>
      </w:hyperlink>
      <w:r w:rsidRPr="00B6100A">
        <w:rPr>
          <w:rFonts w:ascii="Times New Roman" w:hAnsi="Times New Roman" w:cs="Times New Roman"/>
        </w:rPr>
        <w:t xml:space="preserve">; </w:t>
      </w:r>
      <w:hyperlink r:id="rId7" w:history="1">
        <w:r w:rsidRPr="00B6100A">
          <w:rPr>
            <w:rStyle w:val="Hyperlink"/>
            <w:rFonts w:ascii="Times New Roman" w:hAnsi="Times New Roman" w:cs="Times New Roman"/>
          </w:rPr>
          <w:t>peng.gu@jiangnan.edu.cn</w:t>
        </w:r>
      </w:hyperlink>
      <w:r w:rsidRPr="00B6100A">
        <w:rPr>
          <w:rFonts w:ascii="Times New Roman" w:hAnsi="Times New Roman" w:cs="Times New Roman"/>
        </w:rPr>
        <w:t>.</w:t>
      </w:r>
    </w:p>
    <w:p w14:paraId="174E1C6F" w14:textId="77777777" w:rsidR="00B6100A" w:rsidRPr="00B6100A" w:rsidRDefault="00B6100A" w:rsidP="004722DC">
      <w:pPr>
        <w:spacing w:line="480" w:lineRule="auto"/>
        <w:jc w:val="both"/>
        <w:rPr>
          <w:rFonts w:ascii="Times New Roman" w:hAnsi="Times New Roman" w:cs="Times New Roman"/>
          <w:b/>
          <w:bCs/>
          <w:lang w:val="en-GB"/>
        </w:rPr>
      </w:pPr>
      <w:r w:rsidRPr="00B6100A">
        <w:rPr>
          <w:rFonts w:ascii="Times New Roman" w:hAnsi="Times New Roman" w:cs="Times New Roman"/>
          <w:b/>
          <w:bCs/>
          <w:lang w:val="en-GB"/>
        </w:rPr>
        <w:t>Abstract:</w:t>
      </w:r>
    </w:p>
    <w:p w14:paraId="7265BD20" w14:textId="315B5163" w:rsidR="004722DC" w:rsidRPr="00B6100A" w:rsidRDefault="004722DC" w:rsidP="004722DC">
      <w:pPr>
        <w:spacing w:line="480" w:lineRule="auto"/>
        <w:jc w:val="both"/>
        <w:rPr>
          <w:rFonts w:ascii="Times New Roman" w:hAnsi="Times New Roman" w:cs="Times New Roman"/>
          <w:lang w:val="en-GB"/>
        </w:rPr>
      </w:pPr>
      <w:r w:rsidRPr="00B6100A">
        <w:rPr>
          <w:rFonts w:ascii="Times New Roman" w:hAnsi="Times New Roman" w:cs="Times New Roman"/>
          <w:lang w:val="en-GB"/>
        </w:rPr>
        <w:t>The splitting of water either by electricity-driven or photo-driven has been widely studied for energy conversion into fuels and chemicals; in particular, the oxygen evolution reaction (OER) plays a vital role by giving protons and electrons to these processes. However, the intrinsic process of OER is sluggish and suffers from severe efficiency loss as well as large over-potentials.</w:t>
      </w:r>
      <w:r w:rsidRPr="00B6100A">
        <w:rPr>
          <w:rFonts w:ascii="Times New Roman" w:hAnsi="Times New Roman" w:cs="Times New Roman"/>
          <w:lang w:val="en-GB"/>
        </w:rPr>
        <w:fldChar w:fldCharType="begin" w:fldLock="1"/>
      </w:r>
      <w:r w:rsidRPr="00B6100A">
        <w:rPr>
          <w:rFonts w:ascii="Times New Roman" w:hAnsi="Times New Roman" w:cs="Times New Roman"/>
          <w:lang w:val="en-GB"/>
        </w:rPr>
        <w:instrText>ADDIN CSL_CITATION {"citationItems":[{"id":"ITEM-1","itemData":{"DOI":"10.1021/acscatal.6b03126","ISSN":"2155-5435","author":[{"dropping-particle":"","family":"Favaro","given":"Marco","non-dropping-particle":"","parse-names":false,"suffix":""},{"dropping-particle":"","family":"Drisdell","given":"Walter S.","non-dropping-particle":"","parse-names":false,"suffix":""},{"dropping-particle":"","family":"Marcus","given":"Matthew A.","non-dropping-particle":"","parse-names":false,"suffix":""},{"dropping-particle":"","family":"Gregoire","given":"John M.","non-dropping-particle":"","parse-names":false,"suffix":""},{"dropping-particle":"","family":"Crumlin","given":"Ethan J.","non-dropping-particle":"","parse-names":false,"suffix":""},{"dropping-particle":"","family":"Haber","given":"Joel A.","non-dropping-particle":"","parse-names":false,"suffix":""},{"dropping-particle":"","family":"Yano","given":"Junko","non-dropping-particle":"","parse-names":false,"suffix":""}],"container-title":"ACS Catalysis","id":"ITEM-1","issue":"2","issued":{"date-parts":[["2017","2","3"]]},"page":"1248-1258","title":"An Operando Investigation of (Ni–Fe–Co–Ce)O x System as Highly Efficient Electrocatalyst for Oxygen Evolution Reaction","type":"article-journal","volume":"7"},"uris":["http://www.mendeley.com/documents/?uuid=b621a713-d64c-43c4-a774-c3e69fcbc8c2"]}],"mendeley":{"formattedCitation":"&lt;sup&gt;1&lt;/sup&gt;","plainTextFormattedCitation":"1","previouslyFormattedCitation":"&lt;sup&gt;1&lt;/sup&gt;"},"properties":{"noteIndex":0},"schema":"https://github.com/citation-style-language/schema/raw/master/csl-citation.json"}</w:instrText>
      </w:r>
      <w:r w:rsidRPr="00B6100A">
        <w:rPr>
          <w:rFonts w:ascii="Times New Roman" w:hAnsi="Times New Roman" w:cs="Times New Roman"/>
          <w:lang w:val="en-GB"/>
        </w:rPr>
        <w:fldChar w:fldCharType="separate"/>
      </w:r>
      <w:r w:rsidRPr="00B6100A">
        <w:rPr>
          <w:rFonts w:ascii="Times New Roman" w:hAnsi="Times New Roman" w:cs="Times New Roman"/>
          <w:noProof/>
          <w:vertAlign w:val="superscript"/>
          <w:lang w:val="en-GB"/>
        </w:rPr>
        <w:t>1</w:t>
      </w:r>
      <w:r w:rsidRPr="00B6100A">
        <w:rPr>
          <w:rFonts w:ascii="Times New Roman" w:hAnsi="Times New Roman" w:cs="Times New Roman"/>
          <w:lang w:val="en-GB"/>
        </w:rPr>
        <w:fldChar w:fldCharType="end"/>
      </w:r>
      <w:r w:rsidRPr="00B6100A">
        <w:rPr>
          <w:rFonts w:ascii="Times New Roman" w:hAnsi="Times New Roman" w:cs="Times New Roman"/>
          <w:lang w:val="en-GB"/>
        </w:rPr>
        <w:t xml:space="preserve"> Therefore, finding proper OER catalysts is critical in accelerating the reaction, reducing the over-potential and improving the overall efficiency. It is believed that the highly oxidative metal ions may be the active sites of OER catalysts, and the corresponding investigations confirm that the OER catalytic performance may depend on the outer electron states of the transition-metal species.</w:t>
      </w:r>
      <w:r w:rsidRPr="00B6100A">
        <w:rPr>
          <w:rFonts w:ascii="Times New Roman" w:hAnsi="Times New Roman" w:cs="Times New Roman"/>
          <w:lang w:val="en-GB"/>
        </w:rPr>
        <w:fldChar w:fldCharType="begin" w:fldLock="1"/>
      </w:r>
      <w:r w:rsidRPr="00B6100A">
        <w:rPr>
          <w:rFonts w:ascii="Times New Roman" w:hAnsi="Times New Roman" w:cs="Times New Roman"/>
          <w:lang w:val="en-GB"/>
        </w:rPr>
        <w:instrText>ADDIN CSL_CITATION {"citationItems":[{"id":"ITEM-1","itemData":{"DOI":"10.1021/jacs.6b05190","ISBN":"0002-7863","ISSN":"0002-7863","PMID":"27380539","abstract":"Water splitting represents a promising technology for renewable energy conversion and storage, but it is greatly hindered by the kinetically sluggish oxygen evolution reaction (OER). Here, using Au-nanoparticle-decorated Ni(OH)2 nanosheets [Ni(OH)2-Au] as catalysts, we demonstrate that the photon-induced surface plasmon resonance (SPR) excitation on Au nanoparticles could significantly activate the OER catalysis, specifically achieving a more than 4-fold enhanced activity and meanwhile affording a markedly decreased overpotential of 270 mV at the current density of 10 mA cm-2 and a small Tafel slope of 35 mV dec-1 (no iR-correction), which is much better than those of the benchmark IrO2 and RuO2, as well as most Ni-based OER catalysts reported to date. The synergy of the enhanced generation of NiIII/IV active species and the improved charge transfer, both induced by hot-electron excitation on Au nanoparticles, is proposed to account for such a markedly increased activity. The SPR-enhanced OER catalysis could also be observed over cobalt oxide (CoO)-Au and iron oxy-hydroxide (FeOOH)-Au catalysts, suggesting the generality of this strategy. These findings highlight the possibility of activating OER catalysis by plasmonic excitation and could open new avenues toward the design of more-energy-efficient catalytic water oxidation systems with the assistance of light energy. © 2016 American Chemical Society.","author":[{"dropping-particle":"","family":"Liu","given":"Guigao","non-dropping-particle":"","parse-names":false,"suffix":""},{"dropping-particle":"","family":"Li","given":"Peng","non-dropping-particle":"","parse-names":false,"suffix":""},{"dropping-particle":"","family":"Zhao","given":"Guixia","non-dropping-particle":"","parse-names":false,"suffix":""},{"dropping-particle":"","family":"Wang","given":"Xin","non-dropping-particle":"","parse-names":false,"suffix":""},{"dropping-particle":"","family":"Kong","given":"Jintao","non-dropping-particle":"","parse-names":false,"suffix":""},{"dropping-particle":"","family":"Liu","given":"Huimin","non-dropping-particle":"","parse-names":false,"suffix":""},{"dropping-particle":"","family":"Zhang","given":"Huabin","non-dropping-particle":"","parse-names":false,"suffix":""},{"dropping-particle":"","family":"Chang","given":"Kun","non-dropping-particle":"","parse-names":false,"suffix":""},{"dropping-particle":"","family":"Meng","given":"Xianguang","non-dropping-particle":"","parse-names":false,"suffix":""},{"dropping-particle":"","family":"Kako","given":"Tetsuya","non-dropping-particle":"","parse-names":false,"suffix":""},{"dropping-particle":"","family":"Ye","given":"Jinhua","non-dropping-particle":"","parse-names":false,"suffix":""}],"container-title":"Journal of the American Chemical Society","id":"ITEM-1","issue":"29","issued":{"date-parts":[["2016","7","27"]]},"note":"NULL","page":"9128-9136","title":"Promoting Active Species Generation by Plasmon-Induced Hot-Electron Excitation for Efficient Electrocatalytic Oxygen Evolution","type":"article-journal","volume":"138"},"uris":["http://www.mendeley.com/documents/?uuid=847b9a5f-af83-497b-aba8-2156191e3648"]}],"mendeley":{"formattedCitation":"&lt;sup&gt;2&lt;/sup&gt;","plainTextFormattedCitation":"2","previouslyFormattedCitation":"&lt;sup&gt;2&lt;/sup&gt;"},"properties":{"noteIndex":0},"schema":"https://github.com/citation-style-language/schema/raw/master/csl-citation.json"}</w:instrText>
      </w:r>
      <w:r w:rsidRPr="00B6100A">
        <w:rPr>
          <w:rFonts w:ascii="Times New Roman" w:hAnsi="Times New Roman" w:cs="Times New Roman"/>
          <w:lang w:val="en-GB"/>
        </w:rPr>
        <w:fldChar w:fldCharType="separate"/>
      </w:r>
      <w:r w:rsidRPr="00B6100A">
        <w:rPr>
          <w:rFonts w:ascii="Times New Roman" w:hAnsi="Times New Roman" w:cs="Times New Roman"/>
          <w:noProof/>
          <w:vertAlign w:val="superscript"/>
          <w:lang w:val="en-GB"/>
        </w:rPr>
        <w:t>2</w:t>
      </w:r>
      <w:r w:rsidRPr="00B6100A">
        <w:rPr>
          <w:rFonts w:ascii="Times New Roman" w:hAnsi="Times New Roman" w:cs="Times New Roman"/>
          <w:lang w:val="en-GB"/>
        </w:rPr>
        <w:fldChar w:fldCharType="end"/>
      </w:r>
      <w:r w:rsidRPr="00B6100A">
        <w:rPr>
          <w:rFonts w:ascii="Times New Roman" w:hAnsi="Times New Roman" w:cs="Times New Roman"/>
          <w:lang w:val="en-GB"/>
        </w:rPr>
        <w:t xml:space="preserve"> </w:t>
      </w:r>
    </w:p>
    <w:p w14:paraId="2F439F95" w14:textId="77777777" w:rsidR="00B6100A" w:rsidRPr="00B6100A" w:rsidRDefault="00B6100A" w:rsidP="00B6100A">
      <w:pPr>
        <w:spacing w:line="480" w:lineRule="auto"/>
        <w:jc w:val="both"/>
        <w:rPr>
          <w:rFonts w:ascii="Times New Roman" w:hAnsi="Times New Roman" w:cs="Times New Roman"/>
          <w:lang w:val="en-GB"/>
        </w:rPr>
      </w:pPr>
    </w:p>
    <w:p w14:paraId="28C25A64" w14:textId="5DA4657A" w:rsidR="00B6100A" w:rsidRPr="00B6100A" w:rsidRDefault="004722DC" w:rsidP="00B6100A">
      <w:pPr>
        <w:spacing w:line="480" w:lineRule="auto"/>
        <w:jc w:val="both"/>
        <w:rPr>
          <w:rFonts w:ascii="Times New Roman" w:hAnsi="Times New Roman" w:cs="Times New Roman"/>
          <w:lang w:val="en-GB"/>
        </w:rPr>
      </w:pPr>
      <w:r w:rsidRPr="00B6100A">
        <w:rPr>
          <w:rFonts w:ascii="Times New Roman" w:hAnsi="Times New Roman" w:cs="Times New Roman"/>
          <w:lang w:val="en-GB"/>
        </w:rPr>
        <w:t xml:space="preserve">Localized surface plasmon resonance (LSPR) is the coherent charge density oscillation confined to noble metal (such as gold and silver) nanostructures, which is excited by the electromagnetic irradiation </w:t>
      </w:r>
      <w:bookmarkStart w:id="0" w:name="_GoBack"/>
      <w:bookmarkEnd w:id="0"/>
      <w:r w:rsidRPr="00B6100A">
        <w:rPr>
          <w:rFonts w:ascii="Times New Roman" w:hAnsi="Times New Roman" w:cs="Times New Roman"/>
          <w:lang w:val="en-GB"/>
        </w:rPr>
        <w:t>(light).</w:t>
      </w:r>
      <w:r w:rsidRPr="00B6100A">
        <w:rPr>
          <w:rFonts w:ascii="Times New Roman" w:hAnsi="Times New Roman" w:cs="Times New Roman"/>
          <w:lang w:val="en-GB"/>
        </w:rPr>
        <w:fldChar w:fldCharType="begin" w:fldLock="1"/>
      </w:r>
      <w:r w:rsidR="001174A0" w:rsidRPr="00B6100A">
        <w:rPr>
          <w:rFonts w:ascii="Times New Roman" w:hAnsi="Times New Roman" w:cs="Times New Roman"/>
          <w:lang w:val="en-GB"/>
        </w:rPr>
        <w:instrText>ADDIN CSL_CITATION {"citationItems":[{"id":"ITEM-1","itemData":{"DOI":"10.1088/2050-6120/2/2/024004","ISSN":"2050-6120","author":[{"dropping-particle":"","family":"Gu","given":"Peng","non-dropping-particle":"","parse-names":false,"suffix":""},{"dropping-particle":"","family":"Birch","given":"David J S","non-dropping-particle":"","parse-names":false,"suffix":""},{"dropping-particle":"","family":"Chen","given":"Yu","non-dropping-particle":"","parse-names":false,"suffix":""}],"container-title":"Methods and Applications in Fluorescence","id":"ITEM-1","issue":"2","issued":{"date-parts":[["2014","4","10"]]},"note":"NULL","page":"024004","title":"Dye-doped polystyrene-coated gold nanorods: towards wavelength tuneable SPASER","type":"article-journal","volume":"2"},"uris":["http://www.mendeley.com/documents/?uuid=0f65b220-bb63-49de-b3cd-b0bde5e6d7b6"]}],"mendeley":{"formattedCitation":"&lt;sup&gt;3&lt;/sup&gt;","plainTextFormattedCitation":"3","previouslyFormattedCitation":"&lt;sup&gt;3&lt;/sup&gt;"},"properties":{"noteIndex":0},"schema":"https://github.com/citation-style-language/schema/raw/master/csl-citation.json"}</w:instrText>
      </w:r>
      <w:r w:rsidRPr="00B6100A">
        <w:rPr>
          <w:rFonts w:ascii="Times New Roman" w:hAnsi="Times New Roman" w:cs="Times New Roman"/>
          <w:lang w:val="en-GB"/>
        </w:rPr>
        <w:fldChar w:fldCharType="separate"/>
      </w:r>
      <w:r w:rsidRPr="00B6100A">
        <w:rPr>
          <w:rFonts w:ascii="Times New Roman" w:hAnsi="Times New Roman" w:cs="Times New Roman"/>
          <w:noProof/>
          <w:vertAlign w:val="superscript"/>
          <w:lang w:val="en-GB"/>
        </w:rPr>
        <w:t>3</w:t>
      </w:r>
      <w:r w:rsidRPr="00B6100A">
        <w:rPr>
          <w:rFonts w:ascii="Times New Roman" w:hAnsi="Times New Roman" w:cs="Times New Roman"/>
          <w:lang w:val="en-GB"/>
        </w:rPr>
        <w:fldChar w:fldCharType="end"/>
      </w:r>
      <w:r w:rsidRPr="00B6100A">
        <w:rPr>
          <w:rFonts w:ascii="Times New Roman" w:hAnsi="Times New Roman" w:cs="Times New Roman"/>
          <w:lang w:val="en-GB"/>
        </w:rPr>
        <w:t xml:space="preserve"> This light phenomenon attracts a great deal of attention, because it is capable of efficiently absorbing photons and converting light energy to hot electrons (also referred to “energetic electrons”) and enhanced local electric field. During the LSPR process, hot electrons will be excited and transferred, and simultaneously leading to the hole generation on the surface of </w:t>
      </w:r>
      <w:proofErr w:type="spellStart"/>
      <w:r w:rsidRPr="00B6100A">
        <w:rPr>
          <w:rFonts w:ascii="Times New Roman" w:hAnsi="Times New Roman" w:cs="Times New Roman"/>
          <w:lang w:val="en-GB"/>
        </w:rPr>
        <w:t>plamsonic</w:t>
      </w:r>
      <w:proofErr w:type="spellEnd"/>
      <w:r w:rsidRPr="00B6100A">
        <w:rPr>
          <w:rFonts w:ascii="Times New Roman" w:hAnsi="Times New Roman" w:cs="Times New Roman"/>
          <w:lang w:val="en-GB"/>
        </w:rPr>
        <w:t xml:space="preserve"> materials to capture external electrons. Meanwhile, the local electric field of the </w:t>
      </w:r>
      <w:r w:rsidRPr="00807A6C">
        <w:rPr>
          <w:rFonts w:ascii="Times New Roman" w:hAnsi="Times New Roman" w:cs="Times New Roman"/>
          <w:lang w:val="en-GB"/>
        </w:rPr>
        <w:t>plasmonic nanostructures could be</w:t>
      </w:r>
      <w:r w:rsidRPr="00B6100A">
        <w:rPr>
          <w:rFonts w:ascii="Times New Roman" w:hAnsi="Times New Roman" w:cs="Times New Roman"/>
          <w:lang w:val="en-GB"/>
        </w:rPr>
        <w:t xml:space="preserve"> greatly enhanced, which leads </w:t>
      </w:r>
      <w:r w:rsidRPr="00B6100A">
        <w:rPr>
          <w:rFonts w:ascii="Times New Roman" w:hAnsi="Times New Roman" w:cs="Times New Roman"/>
          <w:lang w:val="en-GB"/>
        </w:rPr>
        <w:lastRenderedPageBreak/>
        <w:t>to many unique features such as plasmon enhanced fluorescence and SPASERs.</w:t>
      </w:r>
      <w:r w:rsidR="001174A0" w:rsidRPr="00B6100A">
        <w:rPr>
          <w:rFonts w:ascii="Times New Roman" w:hAnsi="Times New Roman" w:cs="Times New Roman"/>
          <w:lang w:val="en-GB"/>
        </w:rPr>
        <w:fldChar w:fldCharType="begin" w:fldLock="1"/>
      </w:r>
      <w:r w:rsidR="00544B87">
        <w:rPr>
          <w:rFonts w:ascii="Times New Roman" w:hAnsi="Times New Roman" w:cs="Times New Roman"/>
          <w:lang w:val="en-GB"/>
        </w:rPr>
        <w:instrText>ADDIN CSL_CITATION {"citationItems":[{"id":"ITEM-1","itemData":{"DOI":"10.1021/nl4015827","ISSN":"1530-6992","PMID":"23915034","abstract":"A SPASER, short for surface plasmon amplification by stimulated emission of radiation, is key to accessing coherent optical fields at the nanoscale. Nevertheless, the realization of a SPASER in the visible range still remains a great challenge because of strong dissipative losses. Here, we demonstrate that room-temperature SPASER emission can be achieved by amplifying longitudinal surface plasmon modes supported in gold nanorods as plasmon nanocavities and utilizing laser dyes to supply optical gain for compensation of plasmon losses. By choosing a particular organic dye and adjusting the doping level, the resonant wavelength of the SPASER emission can be tuned from 562 to 627 nm with a spectral line width narrowed down to 5-11 nm. This work provides a versatile route toward SPASERs at extended wavelength regimes.","author":[{"dropping-particle":"","family":"Meng","given":"Xiangeng","non-dropping-particle":"","parse-names":false,"suffix":""},{"dropping-particle":"V","family":"Kildishev","given":"Alexander","non-dropping-particle":"","parse-names":false,"suffix":""},{"dropping-particle":"","family":"Fujita","given":"Koji","non-dropping-particle":"","parse-names":false,"suffix":""},{"dropping-particle":"","family":"Tanaka","given":"Katsuhisa","non-dropping-particle":"","parse-names":false,"suffix":""},{"dropping-particle":"","family":"Shalaev","given":"Vladimir M","non-dropping-particle":"","parse-names":false,"suffix":""}],"container-title":"Nano letters","id":"ITEM-1","issue":"9","issued":{"date-parts":[["2013","9","11"]]},"page":"4106-12","title":"Wavelength-tunable spasing in the visible.","type":"article-journal","volume":"13"},"uris":["http://www.mendeley.com/documents/?uuid=5c0ef387-5a02-4983-b7c1-03552efe0d9c"]},{"id":"ITEM-2","itemData":{"DOI":"10.1016/j.bios.2018.04.007","ISSN":"09565663","abstract":"Fluorescence-based biosensor platforms have been intensively investigated not only to increase the sensitivity but also to improve the performance of biosensors. By exploiting metal from the macroscopic down to the nanoscopic surface, various architectures have been devised to manipulate fluorescence signals (enhancement, quenching) within near-optical fields. The interaction of a metallic surface with proximal fluorophores (in the range of 5–90 nm) has beneficial effects on optical properties such as an increased quantum yield, improved photostability and a reduced lifetime of fluorophores. This phenomenon called metal-enhanced fluorescence (MEF) has been extensively used in biosensory applications. However, their applications for biological analysis practically remain challenging in biological microenvironments. Therefore, this review primarily provides a general overview of MEF biosensor systems from the basic mechanism to state-of-the-art biological applications. The review also covers the pros and cons of MEF biosensor as well as discussions about further directions in biological perspectives.","author":[{"dropping-particle":"","family":"Jeong","given":"Yoon","non-dropping-particle":"","parse-names":false,"suffix":""},{"dropping-particle":"","family":"Kook","given":"Yun-Min","non-dropping-particle":"","parse-names":false,"suffix":""},{"dropping-particle":"","family":"Lee","given":"Kangwon","non-dropping-particle":"","parse-names":false,"suffix":""},{"dropping-particle":"","family":"Koh","given":"Won-Gun","non-dropping-particle":"","parse-names":false,"suffix":""}],"container-title":"Biosensors and Bioelectronics","id":"ITEM-2","issue":"April","issued":{"date-parts":[["2018","7"]]},"page":"102-116","publisher":"Elsevier B.V.","title":"Metal enhanced fluorescence (MEF) for biosensors: General approaches and a review of recent developments","type":"article-journal","volume":"111"},"uris":["http://www.mendeley.com/documents/?uuid=2498818b-1277-47be-a9e3-482a5bb0b52a"]}],"mendeley":{"formattedCitation":"&lt;sup&gt;4,5&lt;/sup&gt;","plainTextFormattedCitation":"4,5","previouslyFormattedCitation":"&lt;sup&gt;4,5&lt;/sup&gt;"},"properties":{"noteIndex":0},"schema":"https://github.com/citation-style-language/schema/raw/master/csl-citation.json"}</w:instrText>
      </w:r>
      <w:r w:rsidR="001174A0" w:rsidRPr="00B6100A">
        <w:rPr>
          <w:rFonts w:ascii="Times New Roman" w:hAnsi="Times New Roman" w:cs="Times New Roman"/>
          <w:lang w:val="en-GB"/>
        </w:rPr>
        <w:fldChar w:fldCharType="separate"/>
      </w:r>
      <w:r w:rsidR="001174A0" w:rsidRPr="00B6100A">
        <w:rPr>
          <w:rFonts w:ascii="Times New Roman" w:hAnsi="Times New Roman" w:cs="Times New Roman"/>
          <w:noProof/>
          <w:vertAlign w:val="superscript"/>
          <w:lang w:val="en-GB"/>
        </w:rPr>
        <w:t>4,5</w:t>
      </w:r>
      <w:r w:rsidR="001174A0" w:rsidRPr="00B6100A">
        <w:rPr>
          <w:rFonts w:ascii="Times New Roman" w:hAnsi="Times New Roman" w:cs="Times New Roman"/>
          <w:lang w:val="en-GB"/>
        </w:rPr>
        <w:fldChar w:fldCharType="end"/>
      </w:r>
      <w:r w:rsidRPr="00B6100A">
        <w:rPr>
          <w:rFonts w:ascii="Times New Roman" w:hAnsi="Times New Roman" w:cs="Times New Roman"/>
          <w:lang w:val="en-GB"/>
        </w:rPr>
        <w:t xml:space="preserve"> Inspired by the above phenomena, hybridizing the transition-metal catalyst with plasmonic metal nanoparticles would cause electron-transition metal species, and eventually promote the OER catalytic performance. Thus, the investigation of transition metal species with plasmonic nanoparticle hybrids is highly necessary</w:t>
      </w:r>
      <w:r w:rsidR="00B6100A" w:rsidRPr="00B6100A">
        <w:rPr>
          <w:rFonts w:ascii="Times New Roman" w:hAnsi="Times New Roman" w:cs="Times New Roman"/>
          <w:lang w:val="en-GB"/>
        </w:rPr>
        <w:t>.</w:t>
      </w:r>
    </w:p>
    <w:p w14:paraId="7C76A74E" w14:textId="43127EA7" w:rsidR="00B6100A" w:rsidRPr="00B6100A" w:rsidRDefault="004722DC" w:rsidP="004722DC">
      <w:pPr>
        <w:spacing w:line="480" w:lineRule="auto"/>
        <w:jc w:val="both"/>
        <w:rPr>
          <w:rFonts w:ascii="Times New Roman" w:hAnsi="Times New Roman" w:cs="Times New Roman"/>
          <w:lang w:val="en-GB"/>
        </w:rPr>
      </w:pPr>
      <w:r w:rsidRPr="00B6100A">
        <w:rPr>
          <w:rFonts w:ascii="Times New Roman" w:hAnsi="Times New Roman" w:cs="Times New Roman"/>
          <w:lang w:val="en-GB"/>
        </w:rPr>
        <w:t xml:space="preserve"> </w:t>
      </w:r>
    </w:p>
    <w:p w14:paraId="05F63D5A" w14:textId="57EF9DAC" w:rsidR="004722DC" w:rsidRDefault="004722DC" w:rsidP="004722DC">
      <w:pPr>
        <w:spacing w:line="480" w:lineRule="auto"/>
        <w:jc w:val="both"/>
        <w:rPr>
          <w:rFonts w:ascii="Times New Roman" w:hAnsi="Times New Roman" w:cs="Times New Roman"/>
          <w:lang w:val="en-GB"/>
        </w:rPr>
      </w:pPr>
      <w:r w:rsidRPr="00B6100A">
        <w:rPr>
          <w:rFonts w:ascii="Times New Roman" w:hAnsi="Times New Roman" w:cs="Times New Roman"/>
          <w:lang w:val="en-GB"/>
        </w:rPr>
        <w:t xml:space="preserve">In this study, the gold decorated two-dimensional (2D) </w:t>
      </w:r>
      <w:r w:rsidRPr="00B6100A">
        <w:rPr>
          <w:rFonts w:ascii="Times New Roman" w:hAnsi="Times New Roman" w:cs="Times New Roman"/>
          <w:lang w:val="en-GB"/>
        </w:rPr>
        <w:sym w:font="Symbol" w:char="F064"/>
      </w:r>
      <w:r w:rsidRPr="00B6100A">
        <w:rPr>
          <w:rFonts w:ascii="Times New Roman" w:hAnsi="Times New Roman" w:cs="Times New Roman"/>
          <w:lang w:val="en-GB"/>
        </w:rPr>
        <w:t>-MnO</w:t>
      </w:r>
      <w:r w:rsidRPr="00B6100A">
        <w:rPr>
          <w:rFonts w:ascii="Times New Roman" w:hAnsi="Times New Roman" w:cs="Times New Roman"/>
          <w:vertAlign w:val="subscript"/>
          <w:lang w:val="en-GB"/>
        </w:rPr>
        <w:t xml:space="preserve">2 </w:t>
      </w:r>
      <w:r w:rsidRPr="00B6100A">
        <w:rPr>
          <w:rFonts w:ascii="Times New Roman" w:hAnsi="Times New Roman" w:cs="Times New Roman"/>
          <w:lang w:val="en-GB"/>
        </w:rPr>
        <w:t>nanosheet composites were successfully prepared with various percentage of gold loading.</w:t>
      </w:r>
      <w:r w:rsidR="00544B87">
        <w:rPr>
          <w:rFonts w:ascii="Times New Roman" w:hAnsi="Times New Roman" w:cs="Times New Roman"/>
          <w:lang w:val="en-GB"/>
        </w:rPr>
        <w:fldChar w:fldCharType="begin" w:fldLock="1"/>
      </w:r>
      <w:r w:rsidR="00544B87">
        <w:rPr>
          <w:rFonts w:ascii="Times New Roman" w:hAnsi="Times New Roman" w:cs="Times New Roman"/>
          <w:lang w:val="en-GB"/>
        </w:rPr>
        <w:instrText>ADDIN CSL_CITATION {"citationItems":[{"id":"ITEM-1","itemData":{"DOI":"10.1002/adfm.201801573","ISSN":"1616301X","author":[{"dropping-particle":"","family":"Xu","given":"Jing","non-dropping-particle":"","parse-names":false,"suffix":""},{"dropping-particle":"","family":"Gu","given":"Peng","non-dropping-particle":"","parse-names":false,"suffix":""},{"dropping-particle":"","family":"Birch","given":"David J S","non-dropping-particle":"","parse-names":false,"suffix":""},{"dropping-particle":"","family":"Chen","given":"Yu","non-dropping-particle":"","parse-names":false,"suffix":""}],"container-title":"Advanced Functional Materials","id":"ITEM-1","issue":"31","issued":{"date-parts":[["2018","8"]]},"page":"1801573","title":"Plasmon-Promoted Electrochemical Oxygen Evolution Catalysis from Gold Decorated MnO 2 Nanosheets under Green Light","type":"article-journal","volume":"28"},"uris":["http://www.mendeley.com/documents/?uuid=3aff3192-bfad-4727-be3e-72b5941ebff7"]}],"mendeley":{"formattedCitation":"&lt;sup&gt;6&lt;/sup&gt;","plainTextFormattedCitation":"6","previouslyFormattedCitation":"&lt;sup&gt;6&lt;/sup&gt;"},"properties":{"noteIndex":0},"schema":"https://github.com/citation-style-language/schema/raw/master/csl-citation.json"}</w:instrText>
      </w:r>
      <w:r w:rsidR="00544B87">
        <w:rPr>
          <w:rFonts w:ascii="Times New Roman" w:hAnsi="Times New Roman" w:cs="Times New Roman"/>
          <w:lang w:val="en-GB"/>
        </w:rPr>
        <w:fldChar w:fldCharType="separate"/>
      </w:r>
      <w:r w:rsidR="00544B87" w:rsidRPr="00544B87">
        <w:rPr>
          <w:rFonts w:ascii="Times New Roman" w:hAnsi="Times New Roman" w:cs="Times New Roman"/>
          <w:noProof/>
          <w:vertAlign w:val="superscript"/>
          <w:lang w:val="en-GB"/>
        </w:rPr>
        <w:t>6</w:t>
      </w:r>
      <w:r w:rsidR="00544B87">
        <w:rPr>
          <w:rFonts w:ascii="Times New Roman" w:hAnsi="Times New Roman" w:cs="Times New Roman"/>
          <w:lang w:val="en-GB"/>
        </w:rPr>
        <w:fldChar w:fldCharType="end"/>
      </w:r>
      <w:r w:rsidRPr="00B6100A">
        <w:rPr>
          <w:rFonts w:ascii="Times New Roman" w:hAnsi="Times New Roman" w:cs="Times New Roman"/>
          <w:lang w:val="en-GB"/>
        </w:rPr>
        <w:t xml:space="preserve"> The composite showed excellent OER catalytic performance under and after green laser excitation. In this composite, </w:t>
      </w:r>
      <w:r w:rsidRPr="00B6100A">
        <w:rPr>
          <w:rFonts w:ascii="Times New Roman" w:hAnsi="Times New Roman" w:cs="Times New Roman"/>
          <w:lang w:val="en-GB"/>
        </w:rPr>
        <w:sym w:font="Symbol" w:char="F064"/>
      </w:r>
      <w:r w:rsidRPr="00B6100A">
        <w:rPr>
          <w:rFonts w:ascii="Times New Roman" w:hAnsi="Times New Roman" w:cs="Times New Roman"/>
          <w:lang w:val="en-GB"/>
        </w:rPr>
        <w:t>-MnO</w:t>
      </w:r>
      <w:r w:rsidRPr="00B6100A">
        <w:rPr>
          <w:rFonts w:ascii="Times New Roman" w:hAnsi="Times New Roman" w:cs="Times New Roman"/>
          <w:vertAlign w:val="subscript"/>
          <w:lang w:val="en-GB"/>
        </w:rPr>
        <w:t>2</w:t>
      </w:r>
      <w:r w:rsidRPr="00B6100A">
        <w:rPr>
          <w:rFonts w:ascii="Times New Roman" w:hAnsi="Times New Roman" w:cs="Times New Roman"/>
          <w:lang w:val="en-GB"/>
        </w:rPr>
        <w:t xml:space="preserve"> nanosheets were chosen as the primary OER catalysts for the unique 2D structures and good electrochemical performance. Gold nanospheres were decorated on the 2D MnO</w:t>
      </w:r>
      <w:r w:rsidRPr="00B6100A">
        <w:rPr>
          <w:rFonts w:ascii="Times New Roman" w:hAnsi="Times New Roman" w:cs="Times New Roman"/>
          <w:vertAlign w:val="subscript"/>
          <w:lang w:val="en-GB"/>
        </w:rPr>
        <w:t>2</w:t>
      </w:r>
      <w:r w:rsidRPr="00B6100A">
        <w:rPr>
          <w:rFonts w:ascii="Times New Roman" w:hAnsi="Times New Roman" w:cs="Times New Roman"/>
          <w:lang w:val="en-GB"/>
        </w:rPr>
        <w:t xml:space="preserve"> nanosheets as the </w:t>
      </w:r>
      <w:proofErr w:type="spellStart"/>
      <w:r w:rsidRPr="00B6100A">
        <w:rPr>
          <w:rFonts w:ascii="Times New Roman" w:hAnsi="Times New Roman" w:cs="Times New Roman"/>
          <w:lang w:val="en-GB"/>
        </w:rPr>
        <w:t>nanoantennas</w:t>
      </w:r>
      <w:proofErr w:type="spellEnd"/>
      <w:r w:rsidRPr="00B6100A">
        <w:rPr>
          <w:rFonts w:ascii="Times New Roman" w:hAnsi="Times New Roman" w:cs="Times New Roman"/>
          <w:lang w:val="en-GB"/>
        </w:rPr>
        <w:t xml:space="preserve"> and plasmonic exciters. The electrochemical results showed that the OER catalytic performance could be severely enhanced by activating the LSPR from GNSs under the 532 nm laser irradiation. Our study indicates that plasmon-induced hot-electron excitation could largely promote the confinement of the outer electrons within transition-metal species. The plasmonic “hot holes” nearby may work as the effective electron trapper to form the active </w:t>
      </w:r>
      <w:proofErr w:type="spellStart"/>
      <w:r w:rsidRPr="00B6100A">
        <w:rPr>
          <w:rFonts w:ascii="Times New Roman" w:hAnsi="Times New Roman" w:cs="Times New Roman"/>
          <w:lang w:val="en-GB"/>
        </w:rPr>
        <w:t>Mn</w:t>
      </w:r>
      <w:r w:rsidRPr="00B6100A">
        <w:rPr>
          <w:rFonts w:ascii="Times New Roman" w:hAnsi="Times New Roman" w:cs="Times New Roman"/>
          <w:vertAlign w:val="superscript"/>
          <w:lang w:val="en-GB"/>
        </w:rPr>
        <w:t>n</w:t>
      </w:r>
      <w:proofErr w:type="spellEnd"/>
      <w:r w:rsidRPr="00B6100A">
        <w:rPr>
          <w:rFonts w:ascii="Times New Roman" w:hAnsi="Times New Roman" w:cs="Times New Roman"/>
          <w:vertAlign w:val="superscript"/>
          <w:lang w:val="en-GB"/>
        </w:rPr>
        <w:t>+</w:t>
      </w:r>
      <w:r w:rsidRPr="00B6100A">
        <w:rPr>
          <w:rFonts w:ascii="Times New Roman" w:hAnsi="Times New Roman" w:cs="Times New Roman"/>
          <w:lang w:val="en-GB"/>
        </w:rPr>
        <w:t xml:space="preserve"> species which could provide active sites to extract electrons from OH</w:t>
      </w:r>
      <w:r w:rsidRPr="00B6100A">
        <w:rPr>
          <w:rFonts w:ascii="Times New Roman" w:hAnsi="Times New Roman" w:cs="Times New Roman"/>
          <w:vertAlign w:val="superscript"/>
          <w:lang w:val="en-GB"/>
        </w:rPr>
        <w:t>-</w:t>
      </w:r>
      <w:r w:rsidRPr="00B6100A">
        <w:rPr>
          <w:rFonts w:ascii="Times New Roman" w:hAnsi="Times New Roman" w:cs="Times New Roman"/>
          <w:lang w:val="en-GB"/>
        </w:rPr>
        <w:t xml:space="preserve"> and finally allow for high-efficiency electrochemical water oxidation at lower onset potential. </w:t>
      </w:r>
    </w:p>
    <w:p w14:paraId="1E80ABB9" w14:textId="77777777" w:rsidR="00544B87" w:rsidRPr="00B6100A" w:rsidRDefault="00544B87" w:rsidP="004722DC">
      <w:pPr>
        <w:spacing w:line="480" w:lineRule="auto"/>
        <w:jc w:val="both"/>
        <w:rPr>
          <w:rFonts w:ascii="Times New Roman" w:hAnsi="Times New Roman" w:cs="Times New Roman"/>
          <w:lang w:val="en-GB"/>
        </w:rPr>
      </w:pPr>
    </w:p>
    <w:p w14:paraId="3090BFAE" w14:textId="2410FC09" w:rsidR="00544B87" w:rsidRPr="00544B87" w:rsidRDefault="00544B87" w:rsidP="004722DC">
      <w:pPr>
        <w:spacing w:line="480" w:lineRule="auto"/>
        <w:jc w:val="both"/>
        <w:rPr>
          <w:rFonts w:ascii="Times New Roman" w:hAnsi="Times New Roman" w:cs="Times New Roman"/>
          <w:b/>
          <w:bCs/>
          <w:lang w:val="en-GB"/>
        </w:rPr>
      </w:pPr>
      <w:r w:rsidRPr="00544B87">
        <w:rPr>
          <w:rFonts w:ascii="Times New Roman" w:hAnsi="Times New Roman" w:cs="Times New Roman"/>
          <w:b/>
          <w:bCs/>
          <w:lang w:val="en-GB"/>
        </w:rPr>
        <w:t xml:space="preserve">Reference </w:t>
      </w:r>
    </w:p>
    <w:p w14:paraId="1D00BBAA" w14:textId="1362FF7A" w:rsidR="00544B87" w:rsidRPr="00544B87" w:rsidRDefault="00544B87" w:rsidP="00544B87">
      <w:pPr>
        <w:widowControl w:val="0"/>
        <w:autoSpaceDE w:val="0"/>
        <w:autoSpaceDN w:val="0"/>
        <w:adjustRightInd w:val="0"/>
        <w:spacing w:line="480" w:lineRule="auto"/>
        <w:ind w:left="640" w:hanging="640"/>
        <w:rPr>
          <w:rFonts w:ascii="Times New Roman" w:hAnsi="Times New Roman" w:cs="Times New Roman"/>
          <w:noProof/>
        </w:rPr>
      </w:pPr>
      <w:r>
        <w:rPr>
          <w:rFonts w:ascii="Times New Roman" w:hAnsi="Times New Roman" w:cs="Times New Roman"/>
          <w:lang w:val="en-GB"/>
        </w:rPr>
        <w:fldChar w:fldCharType="begin" w:fldLock="1"/>
      </w:r>
      <w:r>
        <w:rPr>
          <w:rFonts w:ascii="Times New Roman" w:hAnsi="Times New Roman" w:cs="Times New Roman"/>
          <w:lang w:val="en-GB"/>
        </w:rPr>
        <w:instrText xml:space="preserve">ADDIN Mendeley Bibliography CSL_BIBLIOGRAPHY </w:instrText>
      </w:r>
      <w:r>
        <w:rPr>
          <w:rFonts w:ascii="Times New Roman" w:hAnsi="Times New Roman" w:cs="Times New Roman"/>
          <w:lang w:val="en-GB"/>
        </w:rPr>
        <w:fldChar w:fldCharType="separate"/>
      </w:r>
      <w:r w:rsidRPr="00544B87">
        <w:rPr>
          <w:rFonts w:ascii="Times New Roman" w:hAnsi="Times New Roman" w:cs="Times New Roman"/>
          <w:noProof/>
        </w:rPr>
        <w:t xml:space="preserve">(1) </w:t>
      </w:r>
      <w:r w:rsidRPr="00544B87">
        <w:rPr>
          <w:rFonts w:ascii="Times New Roman" w:hAnsi="Times New Roman" w:cs="Times New Roman"/>
          <w:noProof/>
        </w:rPr>
        <w:tab/>
        <w:t xml:space="preserve">Favaro, M.; Drisdell, W. S.; Marcus, M. A.; Gregoire, J. M.; Crumlin, E. J.; Haber, J. A.; Yano, J. </w:t>
      </w:r>
      <w:r w:rsidRPr="00544B87">
        <w:rPr>
          <w:rFonts w:ascii="Times New Roman" w:hAnsi="Times New Roman" w:cs="Times New Roman"/>
          <w:i/>
          <w:iCs/>
          <w:noProof/>
        </w:rPr>
        <w:t>ACS Catal.</w:t>
      </w:r>
      <w:r w:rsidRPr="00544B87">
        <w:rPr>
          <w:rFonts w:ascii="Times New Roman" w:hAnsi="Times New Roman" w:cs="Times New Roman"/>
          <w:noProof/>
        </w:rPr>
        <w:t xml:space="preserve"> </w:t>
      </w:r>
      <w:r w:rsidRPr="00544B87">
        <w:rPr>
          <w:rFonts w:ascii="Times New Roman" w:hAnsi="Times New Roman" w:cs="Times New Roman"/>
          <w:b/>
          <w:bCs/>
          <w:noProof/>
        </w:rPr>
        <w:t>2017</w:t>
      </w:r>
      <w:r w:rsidRPr="00544B87">
        <w:rPr>
          <w:rFonts w:ascii="Times New Roman" w:hAnsi="Times New Roman" w:cs="Times New Roman"/>
          <w:noProof/>
        </w:rPr>
        <w:t xml:space="preserve">, </w:t>
      </w:r>
      <w:r w:rsidRPr="00544B87">
        <w:rPr>
          <w:rFonts w:ascii="Times New Roman" w:hAnsi="Times New Roman" w:cs="Times New Roman"/>
          <w:i/>
          <w:iCs/>
          <w:noProof/>
        </w:rPr>
        <w:t>7</w:t>
      </w:r>
      <w:r w:rsidRPr="00544B87">
        <w:rPr>
          <w:rFonts w:ascii="Times New Roman" w:hAnsi="Times New Roman" w:cs="Times New Roman"/>
          <w:noProof/>
        </w:rPr>
        <w:t xml:space="preserve"> (2), 1248–1258.</w:t>
      </w:r>
    </w:p>
    <w:p w14:paraId="402C2C7E" w14:textId="77777777" w:rsidR="00544B87" w:rsidRPr="00544B87" w:rsidRDefault="00544B87" w:rsidP="00544B87">
      <w:pPr>
        <w:widowControl w:val="0"/>
        <w:autoSpaceDE w:val="0"/>
        <w:autoSpaceDN w:val="0"/>
        <w:adjustRightInd w:val="0"/>
        <w:spacing w:line="480" w:lineRule="auto"/>
        <w:ind w:left="640" w:hanging="640"/>
        <w:rPr>
          <w:rFonts w:ascii="Times New Roman" w:hAnsi="Times New Roman" w:cs="Times New Roman"/>
          <w:noProof/>
        </w:rPr>
      </w:pPr>
      <w:r w:rsidRPr="00544B87">
        <w:rPr>
          <w:rFonts w:ascii="Times New Roman" w:hAnsi="Times New Roman" w:cs="Times New Roman"/>
          <w:noProof/>
        </w:rPr>
        <w:t xml:space="preserve">(2) </w:t>
      </w:r>
      <w:r w:rsidRPr="00544B87">
        <w:rPr>
          <w:rFonts w:ascii="Times New Roman" w:hAnsi="Times New Roman" w:cs="Times New Roman"/>
          <w:noProof/>
        </w:rPr>
        <w:tab/>
        <w:t xml:space="preserve">Liu, G.; Li, P.; Zhao, G.; Wang, X.; Kong, J.; Liu, H.; Zhang, H.; Chang, K.; Meng, X.; Kako, T.; Ye, J. </w:t>
      </w:r>
      <w:r w:rsidRPr="00544B87">
        <w:rPr>
          <w:rFonts w:ascii="Times New Roman" w:hAnsi="Times New Roman" w:cs="Times New Roman"/>
          <w:i/>
          <w:iCs/>
          <w:noProof/>
        </w:rPr>
        <w:t>J. Am. Chem. Soc.</w:t>
      </w:r>
      <w:r w:rsidRPr="00544B87">
        <w:rPr>
          <w:rFonts w:ascii="Times New Roman" w:hAnsi="Times New Roman" w:cs="Times New Roman"/>
          <w:noProof/>
        </w:rPr>
        <w:t xml:space="preserve"> </w:t>
      </w:r>
      <w:r w:rsidRPr="00544B87">
        <w:rPr>
          <w:rFonts w:ascii="Times New Roman" w:hAnsi="Times New Roman" w:cs="Times New Roman"/>
          <w:b/>
          <w:bCs/>
          <w:noProof/>
        </w:rPr>
        <w:t>2016</w:t>
      </w:r>
      <w:r w:rsidRPr="00544B87">
        <w:rPr>
          <w:rFonts w:ascii="Times New Roman" w:hAnsi="Times New Roman" w:cs="Times New Roman"/>
          <w:noProof/>
        </w:rPr>
        <w:t xml:space="preserve">, </w:t>
      </w:r>
      <w:r w:rsidRPr="00544B87">
        <w:rPr>
          <w:rFonts w:ascii="Times New Roman" w:hAnsi="Times New Roman" w:cs="Times New Roman"/>
          <w:i/>
          <w:iCs/>
          <w:noProof/>
        </w:rPr>
        <w:t>138</w:t>
      </w:r>
      <w:r w:rsidRPr="00544B87">
        <w:rPr>
          <w:rFonts w:ascii="Times New Roman" w:hAnsi="Times New Roman" w:cs="Times New Roman"/>
          <w:noProof/>
        </w:rPr>
        <w:t xml:space="preserve"> (29), 9128–9136.</w:t>
      </w:r>
    </w:p>
    <w:p w14:paraId="79B3BF67" w14:textId="77777777" w:rsidR="00544B87" w:rsidRPr="00544B87" w:rsidRDefault="00544B87" w:rsidP="00544B87">
      <w:pPr>
        <w:widowControl w:val="0"/>
        <w:autoSpaceDE w:val="0"/>
        <w:autoSpaceDN w:val="0"/>
        <w:adjustRightInd w:val="0"/>
        <w:spacing w:line="480" w:lineRule="auto"/>
        <w:ind w:left="640" w:hanging="640"/>
        <w:rPr>
          <w:rFonts w:ascii="Times New Roman" w:hAnsi="Times New Roman" w:cs="Times New Roman"/>
          <w:noProof/>
        </w:rPr>
      </w:pPr>
      <w:r w:rsidRPr="00544B87">
        <w:rPr>
          <w:rFonts w:ascii="Times New Roman" w:hAnsi="Times New Roman" w:cs="Times New Roman"/>
          <w:noProof/>
        </w:rPr>
        <w:lastRenderedPageBreak/>
        <w:t xml:space="preserve">(3) </w:t>
      </w:r>
      <w:r w:rsidRPr="00544B87">
        <w:rPr>
          <w:rFonts w:ascii="Times New Roman" w:hAnsi="Times New Roman" w:cs="Times New Roman"/>
          <w:noProof/>
        </w:rPr>
        <w:tab/>
        <w:t xml:space="preserve">Gu, P.; Birch, D. J. S.; Chen, Y. </w:t>
      </w:r>
      <w:r w:rsidRPr="00544B87">
        <w:rPr>
          <w:rFonts w:ascii="Times New Roman" w:hAnsi="Times New Roman" w:cs="Times New Roman"/>
          <w:i/>
          <w:iCs/>
          <w:noProof/>
        </w:rPr>
        <w:t>Methods Appl. Fluoresc.</w:t>
      </w:r>
      <w:r w:rsidRPr="00544B87">
        <w:rPr>
          <w:rFonts w:ascii="Times New Roman" w:hAnsi="Times New Roman" w:cs="Times New Roman"/>
          <w:noProof/>
        </w:rPr>
        <w:t xml:space="preserve"> </w:t>
      </w:r>
      <w:r w:rsidRPr="00544B87">
        <w:rPr>
          <w:rFonts w:ascii="Times New Roman" w:hAnsi="Times New Roman" w:cs="Times New Roman"/>
          <w:b/>
          <w:bCs/>
          <w:noProof/>
        </w:rPr>
        <w:t>2014</w:t>
      </w:r>
      <w:r w:rsidRPr="00544B87">
        <w:rPr>
          <w:rFonts w:ascii="Times New Roman" w:hAnsi="Times New Roman" w:cs="Times New Roman"/>
          <w:noProof/>
        </w:rPr>
        <w:t xml:space="preserve">, </w:t>
      </w:r>
      <w:r w:rsidRPr="00544B87">
        <w:rPr>
          <w:rFonts w:ascii="Times New Roman" w:hAnsi="Times New Roman" w:cs="Times New Roman"/>
          <w:i/>
          <w:iCs/>
          <w:noProof/>
        </w:rPr>
        <w:t>2</w:t>
      </w:r>
      <w:r w:rsidRPr="00544B87">
        <w:rPr>
          <w:rFonts w:ascii="Times New Roman" w:hAnsi="Times New Roman" w:cs="Times New Roman"/>
          <w:noProof/>
        </w:rPr>
        <w:t xml:space="preserve"> (2), 024004.</w:t>
      </w:r>
    </w:p>
    <w:p w14:paraId="7FC2C641" w14:textId="77777777" w:rsidR="00544B87" w:rsidRPr="00544B87" w:rsidRDefault="00544B87" w:rsidP="00544B87">
      <w:pPr>
        <w:widowControl w:val="0"/>
        <w:autoSpaceDE w:val="0"/>
        <w:autoSpaceDN w:val="0"/>
        <w:adjustRightInd w:val="0"/>
        <w:spacing w:line="480" w:lineRule="auto"/>
        <w:ind w:left="640" w:hanging="640"/>
        <w:rPr>
          <w:rFonts w:ascii="Times New Roman" w:hAnsi="Times New Roman" w:cs="Times New Roman"/>
          <w:noProof/>
        </w:rPr>
      </w:pPr>
      <w:r w:rsidRPr="00544B87">
        <w:rPr>
          <w:rFonts w:ascii="Times New Roman" w:hAnsi="Times New Roman" w:cs="Times New Roman"/>
          <w:noProof/>
        </w:rPr>
        <w:t xml:space="preserve">(4) </w:t>
      </w:r>
      <w:r w:rsidRPr="00544B87">
        <w:rPr>
          <w:rFonts w:ascii="Times New Roman" w:hAnsi="Times New Roman" w:cs="Times New Roman"/>
          <w:noProof/>
        </w:rPr>
        <w:tab/>
        <w:t xml:space="preserve">Meng, X.; Kildishev, A. V; Fujita, K.; Tanaka, K.; Shalaev, V. M. </w:t>
      </w:r>
      <w:r w:rsidRPr="00544B87">
        <w:rPr>
          <w:rFonts w:ascii="Times New Roman" w:hAnsi="Times New Roman" w:cs="Times New Roman"/>
          <w:i/>
          <w:iCs/>
          <w:noProof/>
        </w:rPr>
        <w:t>Nano Lett.</w:t>
      </w:r>
      <w:r w:rsidRPr="00544B87">
        <w:rPr>
          <w:rFonts w:ascii="Times New Roman" w:hAnsi="Times New Roman" w:cs="Times New Roman"/>
          <w:noProof/>
        </w:rPr>
        <w:t xml:space="preserve"> </w:t>
      </w:r>
      <w:r w:rsidRPr="00544B87">
        <w:rPr>
          <w:rFonts w:ascii="Times New Roman" w:hAnsi="Times New Roman" w:cs="Times New Roman"/>
          <w:b/>
          <w:bCs/>
          <w:noProof/>
        </w:rPr>
        <w:t>2013</w:t>
      </w:r>
      <w:r w:rsidRPr="00544B87">
        <w:rPr>
          <w:rFonts w:ascii="Times New Roman" w:hAnsi="Times New Roman" w:cs="Times New Roman"/>
          <w:noProof/>
        </w:rPr>
        <w:t xml:space="preserve">, </w:t>
      </w:r>
      <w:r w:rsidRPr="00544B87">
        <w:rPr>
          <w:rFonts w:ascii="Times New Roman" w:hAnsi="Times New Roman" w:cs="Times New Roman"/>
          <w:i/>
          <w:iCs/>
          <w:noProof/>
        </w:rPr>
        <w:t>13</w:t>
      </w:r>
      <w:r w:rsidRPr="00544B87">
        <w:rPr>
          <w:rFonts w:ascii="Times New Roman" w:hAnsi="Times New Roman" w:cs="Times New Roman"/>
          <w:noProof/>
        </w:rPr>
        <w:t xml:space="preserve"> (9), 4106–4112.</w:t>
      </w:r>
    </w:p>
    <w:p w14:paraId="6E3CA4EB" w14:textId="77777777" w:rsidR="00544B87" w:rsidRPr="00544B87" w:rsidRDefault="00544B87" w:rsidP="00544B87">
      <w:pPr>
        <w:widowControl w:val="0"/>
        <w:autoSpaceDE w:val="0"/>
        <w:autoSpaceDN w:val="0"/>
        <w:adjustRightInd w:val="0"/>
        <w:spacing w:line="480" w:lineRule="auto"/>
        <w:ind w:left="640" w:hanging="640"/>
        <w:rPr>
          <w:rFonts w:ascii="Times New Roman" w:hAnsi="Times New Roman" w:cs="Times New Roman"/>
          <w:noProof/>
        </w:rPr>
      </w:pPr>
      <w:r w:rsidRPr="00544B87">
        <w:rPr>
          <w:rFonts w:ascii="Times New Roman" w:hAnsi="Times New Roman" w:cs="Times New Roman"/>
          <w:noProof/>
        </w:rPr>
        <w:t xml:space="preserve">(5) </w:t>
      </w:r>
      <w:r w:rsidRPr="00544B87">
        <w:rPr>
          <w:rFonts w:ascii="Times New Roman" w:hAnsi="Times New Roman" w:cs="Times New Roman"/>
          <w:noProof/>
        </w:rPr>
        <w:tab/>
        <w:t xml:space="preserve">Jeong, Y.; Kook, Y.-M.; Lee, K.; Koh, W.-G. </w:t>
      </w:r>
      <w:r w:rsidRPr="00544B87">
        <w:rPr>
          <w:rFonts w:ascii="Times New Roman" w:hAnsi="Times New Roman" w:cs="Times New Roman"/>
          <w:i/>
          <w:iCs/>
          <w:noProof/>
        </w:rPr>
        <w:t>Biosens. Bioelectron.</w:t>
      </w:r>
      <w:r w:rsidRPr="00544B87">
        <w:rPr>
          <w:rFonts w:ascii="Times New Roman" w:hAnsi="Times New Roman" w:cs="Times New Roman"/>
          <w:noProof/>
        </w:rPr>
        <w:t xml:space="preserve"> </w:t>
      </w:r>
      <w:r w:rsidRPr="00544B87">
        <w:rPr>
          <w:rFonts w:ascii="Times New Roman" w:hAnsi="Times New Roman" w:cs="Times New Roman"/>
          <w:b/>
          <w:bCs/>
          <w:noProof/>
        </w:rPr>
        <w:t>2018</w:t>
      </w:r>
      <w:r w:rsidRPr="00544B87">
        <w:rPr>
          <w:rFonts w:ascii="Times New Roman" w:hAnsi="Times New Roman" w:cs="Times New Roman"/>
          <w:noProof/>
        </w:rPr>
        <w:t xml:space="preserve">, </w:t>
      </w:r>
      <w:r w:rsidRPr="00544B87">
        <w:rPr>
          <w:rFonts w:ascii="Times New Roman" w:hAnsi="Times New Roman" w:cs="Times New Roman"/>
          <w:i/>
          <w:iCs/>
          <w:noProof/>
        </w:rPr>
        <w:t>111</w:t>
      </w:r>
      <w:r w:rsidRPr="00544B87">
        <w:rPr>
          <w:rFonts w:ascii="Times New Roman" w:hAnsi="Times New Roman" w:cs="Times New Roman"/>
          <w:noProof/>
        </w:rPr>
        <w:t xml:space="preserve"> (April), 102–116.</w:t>
      </w:r>
    </w:p>
    <w:p w14:paraId="278FCE93" w14:textId="77777777" w:rsidR="00544B87" w:rsidRPr="00544B87" w:rsidRDefault="00544B87" w:rsidP="00544B87">
      <w:pPr>
        <w:widowControl w:val="0"/>
        <w:autoSpaceDE w:val="0"/>
        <w:autoSpaceDN w:val="0"/>
        <w:adjustRightInd w:val="0"/>
        <w:spacing w:line="480" w:lineRule="auto"/>
        <w:ind w:left="640" w:hanging="640"/>
        <w:rPr>
          <w:rFonts w:ascii="Times New Roman" w:hAnsi="Times New Roman" w:cs="Times New Roman"/>
          <w:noProof/>
        </w:rPr>
      </w:pPr>
      <w:r w:rsidRPr="00544B87">
        <w:rPr>
          <w:rFonts w:ascii="Times New Roman" w:hAnsi="Times New Roman" w:cs="Times New Roman"/>
          <w:noProof/>
        </w:rPr>
        <w:t xml:space="preserve">(6) </w:t>
      </w:r>
      <w:r w:rsidRPr="00544B87">
        <w:rPr>
          <w:rFonts w:ascii="Times New Roman" w:hAnsi="Times New Roman" w:cs="Times New Roman"/>
          <w:noProof/>
        </w:rPr>
        <w:tab/>
        <w:t xml:space="preserve">Xu, J.; Gu, P.; Birch, D. J. S.; Chen, Y. </w:t>
      </w:r>
      <w:r w:rsidRPr="00544B87">
        <w:rPr>
          <w:rFonts w:ascii="Times New Roman" w:hAnsi="Times New Roman" w:cs="Times New Roman"/>
          <w:i/>
          <w:iCs/>
          <w:noProof/>
        </w:rPr>
        <w:t>Adv. Funct. Mater.</w:t>
      </w:r>
      <w:r w:rsidRPr="00544B87">
        <w:rPr>
          <w:rFonts w:ascii="Times New Roman" w:hAnsi="Times New Roman" w:cs="Times New Roman"/>
          <w:noProof/>
        </w:rPr>
        <w:t xml:space="preserve"> </w:t>
      </w:r>
      <w:r w:rsidRPr="00544B87">
        <w:rPr>
          <w:rFonts w:ascii="Times New Roman" w:hAnsi="Times New Roman" w:cs="Times New Roman"/>
          <w:b/>
          <w:bCs/>
          <w:noProof/>
        </w:rPr>
        <w:t>2018</w:t>
      </w:r>
      <w:r w:rsidRPr="00544B87">
        <w:rPr>
          <w:rFonts w:ascii="Times New Roman" w:hAnsi="Times New Roman" w:cs="Times New Roman"/>
          <w:noProof/>
        </w:rPr>
        <w:t xml:space="preserve">, </w:t>
      </w:r>
      <w:r w:rsidRPr="00544B87">
        <w:rPr>
          <w:rFonts w:ascii="Times New Roman" w:hAnsi="Times New Roman" w:cs="Times New Roman"/>
          <w:i/>
          <w:iCs/>
          <w:noProof/>
        </w:rPr>
        <w:t>28</w:t>
      </w:r>
      <w:r w:rsidRPr="00544B87">
        <w:rPr>
          <w:rFonts w:ascii="Times New Roman" w:hAnsi="Times New Roman" w:cs="Times New Roman"/>
          <w:noProof/>
        </w:rPr>
        <w:t xml:space="preserve"> (31), 1801573.</w:t>
      </w:r>
    </w:p>
    <w:p w14:paraId="3AA1A46F" w14:textId="52F492FA" w:rsidR="00544B87" w:rsidRPr="00B6100A" w:rsidRDefault="00544B87" w:rsidP="004722DC">
      <w:pPr>
        <w:spacing w:line="480" w:lineRule="auto"/>
        <w:jc w:val="both"/>
        <w:rPr>
          <w:rFonts w:ascii="Times New Roman" w:hAnsi="Times New Roman" w:cs="Times New Roman"/>
          <w:lang w:val="en-GB"/>
        </w:rPr>
      </w:pPr>
      <w:r>
        <w:rPr>
          <w:rFonts w:ascii="Times New Roman" w:hAnsi="Times New Roman" w:cs="Times New Roman"/>
          <w:lang w:val="en-GB"/>
        </w:rPr>
        <w:fldChar w:fldCharType="end"/>
      </w:r>
    </w:p>
    <w:p w14:paraId="45BFCB15" w14:textId="090124BE" w:rsidR="003107E3" w:rsidRPr="00B6100A" w:rsidRDefault="00807A6C" w:rsidP="00C526F1">
      <w:pPr>
        <w:rPr>
          <w:rFonts w:ascii="Times New Roman" w:hAnsi="Times New Roman" w:cs="Times New Roman"/>
        </w:rPr>
      </w:pPr>
    </w:p>
    <w:sectPr w:rsidR="003107E3" w:rsidRPr="00B6100A" w:rsidSect="00056AC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decorative"/>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505D83"/>
    <w:multiLevelType w:val="hybridMultilevel"/>
    <w:tmpl w:val="93C45B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6F1"/>
    <w:rsid w:val="00056ACE"/>
    <w:rsid w:val="001174A0"/>
    <w:rsid w:val="004722DC"/>
    <w:rsid w:val="00544B87"/>
    <w:rsid w:val="00807A6C"/>
    <w:rsid w:val="00AD4047"/>
    <w:rsid w:val="00B6100A"/>
    <w:rsid w:val="00C526F1"/>
    <w:rsid w:val="00F50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F01F0"/>
  <w14:defaultImageDpi w14:val="32767"/>
  <w15:chartTrackingRefBased/>
  <w15:docId w15:val="{A92CF38B-1AA2-8E46-A11F-65A631DDF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100A"/>
    <w:rPr>
      <w:color w:val="0563C1" w:themeColor="hyperlink"/>
      <w:u w:val="single"/>
    </w:rPr>
  </w:style>
  <w:style w:type="character" w:styleId="UnresolvedMention">
    <w:name w:val="Unresolved Mention"/>
    <w:basedOn w:val="DefaultParagraphFont"/>
    <w:uiPriority w:val="99"/>
    <w:rsid w:val="00B6100A"/>
    <w:rPr>
      <w:color w:val="605E5C"/>
      <w:shd w:val="clear" w:color="auto" w:fill="E1DFDD"/>
    </w:rPr>
  </w:style>
  <w:style w:type="paragraph" w:styleId="ListParagraph">
    <w:name w:val="List Paragraph"/>
    <w:basedOn w:val="Normal"/>
    <w:uiPriority w:val="34"/>
    <w:qFormat/>
    <w:rsid w:val="00B6100A"/>
    <w:pPr>
      <w:spacing w:after="160" w:line="256" w:lineRule="auto"/>
      <w:ind w:left="720"/>
      <w:contextualSpacing/>
    </w:pPr>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eng.gu@jiangnan.edu.c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ommy861007@hot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D44C6323-675D-B74E-9125-1A1705FC0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GU</dc:creator>
  <cp:keywords/>
  <dc:description/>
  <cp:lastModifiedBy>Tommy GU</cp:lastModifiedBy>
  <cp:revision>4</cp:revision>
  <cp:lastPrinted>2020-01-07T13:27:00Z</cp:lastPrinted>
  <dcterms:created xsi:type="dcterms:W3CDTF">2020-01-07T13:16:00Z</dcterms:created>
  <dcterms:modified xsi:type="dcterms:W3CDTF">2020-01-07T13:52:00Z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http://www.zotero.org/styles/acs-catalysis</vt:lpwstr>
  </property>
  <property fmtid="{D5CDD505-2E9C-101B-9397-08002B2CF9AE}" pid="3" name="Mendeley Recent Style Name 0_1">
    <vt:lpwstr>ACS Catalysis</vt:lpwstr>
  </property>
  <property fmtid="{D5CDD505-2E9C-101B-9397-08002B2CF9AE}" pid="4" name="Mendeley Recent Style Id 1_1">
    <vt:lpwstr>http://www.zotero.org/styles/advanced-functional-materials</vt:lpwstr>
  </property>
  <property fmtid="{D5CDD505-2E9C-101B-9397-08002B2CF9AE}" pid="5" name="Mendeley Recent Style Name 1_1">
    <vt:lpwstr>Advanced Functional Materials</vt:lpwstr>
  </property>
  <property fmtid="{D5CDD505-2E9C-101B-9397-08002B2CF9AE}" pid="6" name="Mendeley Recent Style Id 2_1">
    <vt:lpwstr>http://www.zotero.org/styles/advanced-optical-materials</vt:lpwstr>
  </property>
  <property fmtid="{D5CDD505-2E9C-101B-9397-08002B2CF9AE}" pid="7" name="Mendeley Recent Style Name 2_1">
    <vt:lpwstr>Advanced Optical Materials</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http://www.zotero.org/styles/materials-horizons</vt:lpwstr>
  </property>
  <property fmtid="{D5CDD505-2E9C-101B-9397-08002B2CF9AE}" pid="15" name="Mendeley Recent Style Name 6_1">
    <vt:lpwstr>Materials Horizons</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http://www.zotero.org/styles/royal-society-of-chemistry</vt:lpwstr>
  </property>
  <property fmtid="{D5CDD505-2E9C-101B-9397-08002B2CF9AE}" pid="21" name="Mendeley Recent Style Name 9_1">
    <vt:lpwstr>Royal Society of Chemistry</vt:lpwstr>
  </property>
  <property fmtid="{D5CDD505-2E9C-101B-9397-08002B2CF9AE}" pid="22" name="Mendeley Document_1">
    <vt:lpwstr>True</vt:lpwstr>
  </property>
  <property fmtid="{D5CDD505-2E9C-101B-9397-08002B2CF9AE}" pid="23" name="Mendeley Unique User Id_1">
    <vt:lpwstr>bdea4787-612a-30a1-aa2e-154235c727e9</vt:lpwstr>
  </property>
  <property fmtid="{D5CDD505-2E9C-101B-9397-08002B2CF9AE}" pid="24" name="Mendeley Citation Style_1">
    <vt:lpwstr>http://www.zotero.org/styles/acs-catalysis</vt:lpwstr>
  </property>
</Properties>
</file>